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DFB1C" w14:textId="77777777" w:rsidR="00A01575" w:rsidRDefault="00A01575">
      <w:pPr>
        <w:pStyle w:val="BodyText"/>
        <w:rPr>
          <w:rFonts w:ascii="Times New Roman"/>
          <w:sz w:val="20"/>
        </w:rPr>
      </w:pPr>
    </w:p>
    <w:p w14:paraId="23C75790" w14:textId="77777777" w:rsidR="00A01575" w:rsidRDefault="00A01575">
      <w:pPr>
        <w:pStyle w:val="BodyText"/>
        <w:rPr>
          <w:rFonts w:ascii="Times New Roman"/>
          <w:sz w:val="20"/>
        </w:rPr>
      </w:pPr>
    </w:p>
    <w:p w14:paraId="3176E27D" w14:textId="77777777" w:rsidR="00A01575" w:rsidRDefault="00A01575">
      <w:pPr>
        <w:pStyle w:val="BodyText"/>
        <w:rPr>
          <w:rFonts w:ascii="Times New Roman"/>
          <w:sz w:val="20"/>
        </w:rPr>
      </w:pPr>
    </w:p>
    <w:p w14:paraId="38DBB193" w14:textId="77777777" w:rsidR="00A01575" w:rsidRDefault="00A01575">
      <w:pPr>
        <w:pStyle w:val="BodyText"/>
        <w:rPr>
          <w:rFonts w:ascii="Times New Roman"/>
          <w:sz w:val="20"/>
        </w:rPr>
      </w:pPr>
    </w:p>
    <w:p w14:paraId="5F3817E9" w14:textId="77777777" w:rsidR="00A01575" w:rsidRDefault="00A01575">
      <w:pPr>
        <w:pStyle w:val="BodyText"/>
        <w:rPr>
          <w:rFonts w:ascii="Times New Roman"/>
          <w:sz w:val="20"/>
        </w:rPr>
      </w:pPr>
    </w:p>
    <w:p w14:paraId="05FA38BD" w14:textId="77777777" w:rsidR="00A01575" w:rsidRDefault="00A01575">
      <w:pPr>
        <w:pStyle w:val="BodyText"/>
        <w:rPr>
          <w:rFonts w:ascii="Times New Roman"/>
          <w:sz w:val="20"/>
        </w:rPr>
      </w:pPr>
    </w:p>
    <w:p w14:paraId="6B5F5E22" w14:textId="77777777" w:rsidR="00A01575" w:rsidRDefault="00A01575">
      <w:pPr>
        <w:pStyle w:val="BodyText"/>
        <w:rPr>
          <w:rFonts w:ascii="Times New Roman"/>
          <w:sz w:val="20"/>
        </w:rPr>
      </w:pPr>
    </w:p>
    <w:p w14:paraId="44AB3663" w14:textId="77777777" w:rsidR="00A01575" w:rsidRDefault="00A01575">
      <w:pPr>
        <w:pStyle w:val="BodyText"/>
        <w:rPr>
          <w:rFonts w:ascii="Times New Roman"/>
          <w:sz w:val="20"/>
        </w:rPr>
      </w:pPr>
    </w:p>
    <w:p w14:paraId="77524D80" w14:textId="77777777" w:rsidR="00A01575" w:rsidRDefault="00A01575">
      <w:pPr>
        <w:pStyle w:val="BodyText"/>
        <w:rPr>
          <w:rFonts w:ascii="Times New Roman"/>
          <w:sz w:val="20"/>
        </w:rPr>
      </w:pPr>
    </w:p>
    <w:p w14:paraId="2B742A07" w14:textId="77777777" w:rsidR="00A01575" w:rsidRDefault="00A01575">
      <w:pPr>
        <w:pStyle w:val="BodyText"/>
        <w:rPr>
          <w:rFonts w:ascii="Times New Roman"/>
          <w:sz w:val="16"/>
        </w:rPr>
      </w:pPr>
    </w:p>
    <w:tbl>
      <w:tblPr>
        <w:tblW w:w="0" w:type="auto"/>
        <w:tblInd w:w="10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299"/>
        <w:gridCol w:w="6601"/>
      </w:tblGrid>
      <w:tr w:rsidR="00A01575" w14:paraId="5A9D2C2E" w14:textId="77777777">
        <w:trPr>
          <w:trHeight w:hRule="exact" w:val="3075"/>
        </w:trPr>
        <w:tc>
          <w:tcPr>
            <w:tcW w:w="4299" w:type="dxa"/>
            <w:tcBorders>
              <w:bottom w:val="single" w:sz="17" w:space="0" w:color="808080"/>
              <w:right w:val="single" w:sz="17" w:space="0" w:color="808080"/>
            </w:tcBorders>
          </w:tcPr>
          <w:p w14:paraId="227D1235" w14:textId="77777777" w:rsidR="00A01575" w:rsidRDefault="00BA0F48">
            <w:pPr>
              <w:pStyle w:val="TableParagraph"/>
              <w:spacing w:before="216"/>
              <w:ind w:left="216" w:right="239"/>
              <w:rPr>
                <w:sz w:val="76"/>
              </w:rPr>
            </w:pPr>
            <w:r>
              <w:rPr>
                <w:sz w:val="76"/>
              </w:rPr>
              <w:t>Internal appeals procedures</w:t>
            </w:r>
          </w:p>
        </w:tc>
        <w:tc>
          <w:tcPr>
            <w:tcW w:w="6601" w:type="dxa"/>
            <w:tcBorders>
              <w:left w:val="single" w:sz="17" w:space="0" w:color="808080"/>
              <w:bottom w:val="single" w:sz="17" w:space="0" w:color="808080"/>
            </w:tcBorders>
          </w:tcPr>
          <w:p w14:paraId="33302F8E" w14:textId="08673D37" w:rsidR="00A01575" w:rsidRDefault="00BA0F48">
            <w:pPr>
              <w:pStyle w:val="TableParagraph"/>
              <w:spacing w:before="697"/>
              <w:ind w:left="194"/>
              <w:rPr>
                <w:sz w:val="144"/>
              </w:rPr>
            </w:pPr>
            <w:r>
              <w:rPr>
                <w:color w:val="003399"/>
                <w:sz w:val="144"/>
              </w:rPr>
              <w:t>201</w:t>
            </w:r>
            <w:r w:rsidR="0092165E">
              <w:rPr>
                <w:color w:val="003399"/>
                <w:sz w:val="144"/>
              </w:rPr>
              <w:t>9</w:t>
            </w:r>
            <w:r>
              <w:rPr>
                <w:color w:val="003399"/>
                <w:sz w:val="144"/>
              </w:rPr>
              <w:t>/</w:t>
            </w:r>
            <w:r w:rsidR="0092165E">
              <w:rPr>
                <w:color w:val="003399"/>
                <w:sz w:val="144"/>
              </w:rPr>
              <w:t>20</w:t>
            </w:r>
            <w:bookmarkStart w:id="0" w:name="_GoBack"/>
            <w:bookmarkEnd w:id="0"/>
          </w:p>
        </w:tc>
      </w:tr>
      <w:tr w:rsidR="00A01575" w14:paraId="70FEDD9C" w14:textId="77777777">
        <w:trPr>
          <w:trHeight w:hRule="exact" w:val="3354"/>
        </w:trPr>
        <w:tc>
          <w:tcPr>
            <w:tcW w:w="4299" w:type="dxa"/>
            <w:tcBorders>
              <w:top w:val="single" w:sz="17" w:space="0" w:color="808080"/>
            </w:tcBorders>
          </w:tcPr>
          <w:p w14:paraId="5AB4D97E" w14:textId="77777777" w:rsidR="00A01575" w:rsidRDefault="00A01575"/>
        </w:tc>
        <w:tc>
          <w:tcPr>
            <w:tcW w:w="6601" w:type="dxa"/>
            <w:tcBorders>
              <w:top w:val="single" w:sz="17" w:space="0" w:color="808080"/>
            </w:tcBorders>
          </w:tcPr>
          <w:p w14:paraId="6708AF7B" w14:textId="77777777" w:rsidR="00A01575" w:rsidRDefault="00A01575">
            <w:pPr>
              <w:pStyle w:val="TableParagraph"/>
              <w:rPr>
                <w:rFonts w:ascii="Times New Roman"/>
                <w:sz w:val="28"/>
              </w:rPr>
            </w:pPr>
          </w:p>
          <w:p w14:paraId="5340F36D" w14:textId="77777777" w:rsidR="00A01575" w:rsidRDefault="00A01575">
            <w:pPr>
              <w:pStyle w:val="TableParagraph"/>
              <w:rPr>
                <w:rFonts w:ascii="Times New Roman"/>
                <w:sz w:val="28"/>
              </w:rPr>
            </w:pPr>
          </w:p>
          <w:p w14:paraId="7DC76C18" w14:textId="77777777" w:rsidR="00A01575" w:rsidRDefault="00A01575">
            <w:pPr>
              <w:pStyle w:val="TableParagraph"/>
              <w:rPr>
                <w:rFonts w:ascii="Times New Roman"/>
                <w:sz w:val="28"/>
              </w:rPr>
            </w:pPr>
          </w:p>
          <w:p w14:paraId="668ACA34" w14:textId="77777777" w:rsidR="00A01575" w:rsidRDefault="00A01575">
            <w:pPr>
              <w:pStyle w:val="TableParagraph"/>
              <w:rPr>
                <w:rFonts w:ascii="Times New Roman"/>
                <w:sz w:val="28"/>
              </w:rPr>
            </w:pPr>
          </w:p>
          <w:p w14:paraId="757C25E6" w14:textId="77777777" w:rsidR="00A01575" w:rsidRDefault="00A01575">
            <w:pPr>
              <w:pStyle w:val="TableParagraph"/>
              <w:rPr>
                <w:rFonts w:ascii="Times New Roman"/>
                <w:sz w:val="28"/>
              </w:rPr>
            </w:pPr>
          </w:p>
          <w:p w14:paraId="36C6CFCF" w14:textId="77777777" w:rsidR="00A01575" w:rsidRDefault="00A01575">
            <w:pPr>
              <w:pStyle w:val="TableParagraph"/>
              <w:rPr>
                <w:rFonts w:ascii="Times New Roman"/>
                <w:sz w:val="28"/>
              </w:rPr>
            </w:pPr>
          </w:p>
          <w:p w14:paraId="041EF75E" w14:textId="77777777" w:rsidR="00A01575" w:rsidRDefault="00A01575">
            <w:pPr>
              <w:pStyle w:val="TableParagraph"/>
              <w:rPr>
                <w:rFonts w:ascii="Times New Roman"/>
                <w:sz w:val="28"/>
              </w:rPr>
            </w:pPr>
          </w:p>
          <w:p w14:paraId="33048959" w14:textId="77777777" w:rsidR="00A01575" w:rsidRDefault="00A01575">
            <w:pPr>
              <w:pStyle w:val="TableParagraph"/>
              <w:spacing w:before="3"/>
              <w:rPr>
                <w:rFonts w:ascii="Times New Roman"/>
                <w:sz w:val="38"/>
              </w:rPr>
            </w:pPr>
          </w:p>
          <w:p w14:paraId="5015D7A6" w14:textId="77777777" w:rsidR="00A01575" w:rsidRDefault="00BA0F48">
            <w:pPr>
              <w:pStyle w:val="TableParagraph"/>
              <w:ind w:left="215" w:right="685"/>
              <w:rPr>
                <w:sz w:val="28"/>
              </w:rPr>
            </w:pPr>
            <w:r>
              <w:rPr>
                <w:sz w:val="28"/>
              </w:rPr>
              <w:t>This document is reviewed annually to ensure compliance with current regulations</w:t>
            </w:r>
          </w:p>
        </w:tc>
      </w:tr>
    </w:tbl>
    <w:p w14:paraId="7C888F7F" w14:textId="77777777" w:rsidR="00A01575" w:rsidRDefault="00A01575">
      <w:pPr>
        <w:rPr>
          <w:sz w:val="28"/>
        </w:rPr>
        <w:sectPr w:rsidR="00A01575">
          <w:type w:val="continuous"/>
          <w:pgSz w:w="11910" w:h="16840"/>
          <w:pgMar w:top="1580" w:right="400" w:bottom="280" w:left="400" w:header="720" w:footer="720" w:gutter="0"/>
          <w:cols w:space="720"/>
        </w:sectPr>
      </w:pPr>
    </w:p>
    <w:p w14:paraId="1DF5F5A6" w14:textId="77777777" w:rsidR="00A01575" w:rsidRDefault="00A01575">
      <w:pPr>
        <w:pStyle w:val="BodyText"/>
        <w:rPr>
          <w:rFonts w:ascii="Times New Roman"/>
          <w:sz w:val="20"/>
        </w:rPr>
      </w:pPr>
    </w:p>
    <w:p w14:paraId="7FDD942D" w14:textId="77777777" w:rsidR="00A01575" w:rsidRDefault="00A01575">
      <w:pPr>
        <w:pStyle w:val="BodyText"/>
        <w:rPr>
          <w:rFonts w:ascii="Times New Roman"/>
          <w:sz w:val="18"/>
        </w:rPr>
      </w:pPr>
    </w:p>
    <w:p w14:paraId="728A8F5C" w14:textId="77777777" w:rsidR="00A01575" w:rsidRDefault="00BA0F48">
      <w:pPr>
        <w:pStyle w:val="Heading1"/>
        <w:ind w:left="160" w:right="215"/>
      </w:pPr>
      <w:r>
        <w:rPr>
          <w:color w:val="FF3300"/>
        </w:rPr>
        <w:t>Appeals procedure against internal assessment decisions</w:t>
      </w:r>
    </w:p>
    <w:p w14:paraId="48AAB6EE" w14:textId="77777777" w:rsidR="00A01575" w:rsidRDefault="00A01575">
      <w:pPr>
        <w:pStyle w:val="BodyText"/>
        <w:spacing w:before="9"/>
        <w:rPr>
          <w:b/>
          <w:sz w:val="20"/>
        </w:rPr>
      </w:pPr>
    </w:p>
    <w:p w14:paraId="5838A1B3" w14:textId="77777777" w:rsidR="00A01575" w:rsidRDefault="00BA0F48">
      <w:pPr>
        <w:pStyle w:val="BodyText"/>
        <w:spacing w:line="276" w:lineRule="auto"/>
        <w:ind w:left="160" w:right="215"/>
      </w:pPr>
      <w:r>
        <w:t>Blackwater Academy is committed to ensuring that internal assessments are marked and administered fairly, consistently and in accordance with the awarding body specifications and subject-specific associated documents.</w:t>
      </w:r>
    </w:p>
    <w:p w14:paraId="0FA036AF" w14:textId="77777777" w:rsidR="00A01575" w:rsidRDefault="00A01575">
      <w:pPr>
        <w:pStyle w:val="BodyText"/>
        <w:spacing w:before="4"/>
        <w:rPr>
          <w:sz w:val="17"/>
        </w:rPr>
      </w:pPr>
    </w:p>
    <w:p w14:paraId="105E8535" w14:textId="77777777" w:rsidR="00A01575" w:rsidRDefault="00BA0F48">
      <w:pPr>
        <w:pStyle w:val="BodyText"/>
        <w:ind w:left="160" w:right="215"/>
      </w:pPr>
      <w:r>
        <w:t>This is ensured by:</w:t>
      </w:r>
    </w:p>
    <w:p w14:paraId="15290D7C" w14:textId="77777777" w:rsidR="00A01575" w:rsidRDefault="00A01575">
      <w:pPr>
        <w:pStyle w:val="BodyText"/>
        <w:spacing w:before="7"/>
        <w:rPr>
          <w:sz w:val="28"/>
        </w:rPr>
      </w:pPr>
    </w:p>
    <w:p w14:paraId="62F70F9B" w14:textId="77777777" w:rsidR="00A01575" w:rsidRDefault="00BA0F48">
      <w:pPr>
        <w:pStyle w:val="ListParagraph"/>
        <w:numPr>
          <w:ilvl w:val="0"/>
          <w:numId w:val="3"/>
        </w:numPr>
        <w:tabs>
          <w:tab w:val="left" w:pos="881"/>
        </w:tabs>
        <w:spacing w:before="1" w:line="271" w:lineRule="auto"/>
        <w:ind w:right="215" w:hanging="360"/>
      </w:pPr>
      <w:r>
        <w:t>Subject staff having the necessary and appropriate knowledge, understanding, skills, and training in this</w:t>
      </w:r>
      <w:r>
        <w:rPr>
          <w:spacing w:val="-8"/>
        </w:rPr>
        <w:t xml:space="preserve"> </w:t>
      </w:r>
      <w:r>
        <w:t>activity</w:t>
      </w:r>
    </w:p>
    <w:p w14:paraId="3B1EAB0A" w14:textId="77777777" w:rsidR="00A01575" w:rsidRDefault="00BA0F48">
      <w:pPr>
        <w:pStyle w:val="ListParagraph"/>
        <w:numPr>
          <w:ilvl w:val="0"/>
          <w:numId w:val="3"/>
        </w:numPr>
        <w:tabs>
          <w:tab w:val="left" w:pos="881"/>
        </w:tabs>
        <w:spacing w:before="7" w:line="271" w:lineRule="auto"/>
        <w:ind w:right="227" w:hanging="360"/>
      </w:pPr>
      <w:r>
        <w:t>Subject staff authenticating candidates work according to the requirements of the relevant awarding body</w:t>
      </w:r>
    </w:p>
    <w:p w14:paraId="22947088" w14:textId="77777777" w:rsidR="00A01575" w:rsidRDefault="00BA0F48">
      <w:pPr>
        <w:pStyle w:val="ListParagraph"/>
        <w:numPr>
          <w:ilvl w:val="0"/>
          <w:numId w:val="3"/>
        </w:numPr>
        <w:tabs>
          <w:tab w:val="left" w:pos="881"/>
        </w:tabs>
        <w:spacing w:before="5"/>
        <w:ind w:hanging="360"/>
      </w:pPr>
      <w:r>
        <w:t xml:space="preserve">A process of internal moderation and </w:t>
      </w:r>
      <w:proofErr w:type="spellStart"/>
      <w:r>
        <w:t>standardisation</w:t>
      </w:r>
      <w:proofErr w:type="spellEnd"/>
      <w:r>
        <w:t xml:space="preserve"> led by nominated</w:t>
      </w:r>
      <w:r>
        <w:rPr>
          <w:spacing w:val="-19"/>
        </w:rPr>
        <w:t xml:space="preserve"> </w:t>
      </w:r>
      <w:r>
        <w:t>staff</w:t>
      </w:r>
    </w:p>
    <w:p w14:paraId="33ADD957" w14:textId="77777777" w:rsidR="00A01575" w:rsidRDefault="00BA0F48">
      <w:pPr>
        <w:pStyle w:val="BodyText"/>
        <w:spacing w:before="2" w:line="580" w:lineRule="atLeast"/>
        <w:ind w:left="160" w:right="691"/>
      </w:pPr>
      <w:r>
        <w:t>An appeal against internal assessment decisions can be made, based on the above not being fulfilled. All appeals must follow the procedure detailed below.</w:t>
      </w:r>
    </w:p>
    <w:p w14:paraId="2F77A078" w14:textId="77777777" w:rsidR="00A01575" w:rsidRDefault="00BA0F48">
      <w:pPr>
        <w:spacing w:before="37" w:line="278" w:lineRule="auto"/>
        <w:ind w:left="160" w:right="179"/>
        <w:rPr>
          <w:i/>
        </w:rPr>
      </w:pPr>
      <w:r>
        <w:rPr>
          <w:b/>
          <w:i/>
        </w:rPr>
        <w:t xml:space="preserve">Note </w:t>
      </w:r>
      <w:r>
        <w:rPr>
          <w:i/>
        </w:rPr>
        <w:t xml:space="preserve">- appeals may only be made against the marking/assessment process not against the mark submitted by the </w:t>
      </w:r>
      <w:proofErr w:type="spellStart"/>
      <w:r>
        <w:rPr>
          <w:i/>
        </w:rPr>
        <w:t>centre</w:t>
      </w:r>
      <w:proofErr w:type="spellEnd"/>
      <w:r>
        <w:rPr>
          <w:i/>
        </w:rPr>
        <w:t xml:space="preserve"> for moderation by the awarding body.</w:t>
      </w:r>
    </w:p>
    <w:p w14:paraId="1B53E879" w14:textId="77777777" w:rsidR="00A01575" w:rsidRDefault="00A01575">
      <w:pPr>
        <w:pStyle w:val="BodyText"/>
        <w:rPr>
          <w:i/>
        </w:rPr>
      </w:pPr>
    </w:p>
    <w:p w14:paraId="7D0A2B5E" w14:textId="77777777" w:rsidR="00A01575" w:rsidRDefault="00A01575">
      <w:pPr>
        <w:pStyle w:val="BodyText"/>
        <w:spacing w:before="10"/>
        <w:rPr>
          <w:i/>
          <w:sz w:val="17"/>
        </w:rPr>
      </w:pPr>
    </w:p>
    <w:p w14:paraId="0A2EA4F2" w14:textId="77777777" w:rsidR="00A01575" w:rsidRDefault="00BA0F48">
      <w:pPr>
        <w:pStyle w:val="ListParagraph"/>
        <w:numPr>
          <w:ilvl w:val="0"/>
          <w:numId w:val="2"/>
        </w:numPr>
        <w:tabs>
          <w:tab w:val="left" w:pos="881"/>
        </w:tabs>
        <w:spacing w:line="278" w:lineRule="auto"/>
        <w:ind w:right="535" w:hanging="360"/>
      </w:pPr>
      <w:r>
        <w:t xml:space="preserve">Appeals should be made as early as possible and </w:t>
      </w:r>
      <w:r>
        <w:rPr>
          <w:b/>
        </w:rPr>
        <w:t xml:space="preserve">at least two weeks before </w:t>
      </w:r>
      <w:r>
        <w:t xml:space="preserve">the end of the last externally assessed paper in the examination series (e.g. the last GCSE written paper in the summer exam series). It should be addressed to the Head of Centre, </w:t>
      </w:r>
      <w:proofErr w:type="spellStart"/>
      <w:r>
        <w:t>Mr</w:t>
      </w:r>
      <w:proofErr w:type="spellEnd"/>
      <w:r>
        <w:t xml:space="preserve"> Ahmed</w:t>
      </w:r>
    </w:p>
    <w:p w14:paraId="3A7A8BB1" w14:textId="77777777" w:rsidR="00A01575" w:rsidRDefault="00BA0F48">
      <w:pPr>
        <w:pStyle w:val="ListParagraph"/>
        <w:numPr>
          <w:ilvl w:val="0"/>
          <w:numId w:val="2"/>
        </w:numPr>
        <w:tabs>
          <w:tab w:val="left" w:pos="881"/>
        </w:tabs>
        <w:spacing w:line="276" w:lineRule="auto"/>
        <w:ind w:right="792" w:hanging="360"/>
      </w:pPr>
      <w:r>
        <w:t xml:space="preserve">Appeals should be made using the </w:t>
      </w:r>
      <w:r>
        <w:rPr>
          <w:b/>
        </w:rPr>
        <w:t xml:space="preserve">internal appeals form </w:t>
      </w:r>
      <w:r>
        <w:t>completed by the candidate (or parent/</w:t>
      </w:r>
      <w:proofErr w:type="spellStart"/>
      <w:r>
        <w:t>carer</w:t>
      </w:r>
      <w:proofErr w:type="spellEnd"/>
      <w:r>
        <w:t>). This can be accessed from the Exams Officer or from the Exams section of the school’s</w:t>
      </w:r>
      <w:r>
        <w:rPr>
          <w:spacing w:val="-6"/>
        </w:rPr>
        <w:t xml:space="preserve"> </w:t>
      </w:r>
      <w:r>
        <w:t>website.</w:t>
      </w:r>
    </w:p>
    <w:p w14:paraId="0A4DCC7C" w14:textId="77777777" w:rsidR="00A01575" w:rsidRDefault="00BA0F48">
      <w:pPr>
        <w:pStyle w:val="ListParagraph"/>
        <w:numPr>
          <w:ilvl w:val="0"/>
          <w:numId w:val="2"/>
        </w:numPr>
        <w:tabs>
          <w:tab w:val="left" w:pos="881"/>
        </w:tabs>
        <w:spacing w:before="3" w:line="276" w:lineRule="auto"/>
        <w:ind w:right="242" w:hanging="360"/>
      </w:pPr>
      <w:r>
        <w:t xml:space="preserve">The head of </w:t>
      </w:r>
      <w:proofErr w:type="spellStart"/>
      <w:r>
        <w:t>centre</w:t>
      </w:r>
      <w:proofErr w:type="spellEnd"/>
      <w:r>
        <w:t xml:space="preserve"> will appoint a member of the senior leadership team, who has no involvement in the assessment process for that subject to conduct the</w:t>
      </w:r>
      <w:r>
        <w:rPr>
          <w:spacing w:val="-16"/>
        </w:rPr>
        <w:t xml:space="preserve"> </w:t>
      </w:r>
      <w:r>
        <w:t>investigation</w:t>
      </w:r>
    </w:p>
    <w:p w14:paraId="65AA79F3" w14:textId="77777777" w:rsidR="00A01575" w:rsidRDefault="00BA0F48">
      <w:pPr>
        <w:pStyle w:val="ListParagraph"/>
        <w:numPr>
          <w:ilvl w:val="0"/>
          <w:numId w:val="2"/>
        </w:numPr>
        <w:tabs>
          <w:tab w:val="left" w:pos="881"/>
        </w:tabs>
        <w:spacing w:line="276" w:lineRule="auto"/>
        <w:ind w:right="426" w:hanging="360"/>
        <w:jc w:val="both"/>
      </w:pPr>
      <w:r>
        <w:t>The purpose of the appeal will be to decide whether the process used for the internal assessment conformed to the published requirements as detailed in the awarding body specification(s) and/or subject-specific associated</w:t>
      </w:r>
      <w:r>
        <w:rPr>
          <w:spacing w:val="-8"/>
        </w:rPr>
        <w:t xml:space="preserve"> </w:t>
      </w:r>
      <w:r>
        <w:t>documents</w:t>
      </w:r>
    </w:p>
    <w:p w14:paraId="5815555D" w14:textId="77777777" w:rsidR="00A01575" w:rsidRDefault="00BA0F48">
      <w:pPr>
        <w:pStyle w:val="ListParagraph"/>
        <w:numPr>
          <w:ilvl w:val="0"/>
          <w:numId w:val="2"/>
        </w:numPr>
        <w:tabs>
          <w:tab w:val="left" w:pos="881"/>
        </w:tabs>
        <w:spacing w:line="276" w:lineRule="auto"/>
        <w:ind w:right="237" w:hanging="360"/>
      </w:pPr>
      <w:r>
        <w:t>The appellant will be informed in writing of the outcome of the appeal, including any relevant correspondence with the awarding body and any changes made to internal assessment</w:t>
      </w:r>
      <w:r>
        <w:rPr>
          <w:spacing w:val="-11"/>
        </w:rPr>
        <w:t xml:space="preserve"> </w:t>
      </w:r>
      <w:r>
        <w:t>procedures</w:t>
      </w:r>
    </w:p>
    <w:p w14:paraId="4578B4D0" w14:textId="77777777" w:rsidR="00A01575" w:rsidRDefault="00BA0F48">
      <w:pPr>
        <w:pStyle w:val="ListParagraph"/>
        <w:numPr>
          <w:ilvl w:val="0"/>
          <w:numId w:val="2"/>
        </w:numPr>
        <w:tabs>
          <w:tab w:val="left" w:pos="881"/>
        </w:tabs>
        <w:spacing w:line="276" w:lineRule="auto"/>
        <w:ind w:right="342" w:hanging="360"/>
      </w:pPr>
      <w:r>
        <w:t xml:space="preserve">The outcome of the appeal will be made known to the head of </w:t>
      </w:r>
      <w:proofErr w:type="spellStart"/>
      <w:r>
        <w:t>centre</w:t>
      </w:r>
      <w:proofErr w:type="spellEnd"/>
      <w:r>
        <w:t xml:space="preserve"> and will be logged as a complaint. A written record will be kept and made available to the awarding body upon request. Should the appeal bring any significant irregularity in procedures to light, the awarding body will be informed</w:t>
      </w:r>
    </w:p>
    <w:p w14:paraId="42BD7C35" w14:textId="77777777" w:rsidR="00A01575" w:rsidRDefault="00A01575">
      <w:pPr>
        <w:pStyle w:val="BodyText"/>
        <w:spacing w:before="2"/>
      </w:pPr>
    </w:p>
    <w:p w14:paraId="7A52E5A0" w14:textId="77777777" w:rsidR="00E066E1" w:rsidRDefault="00BA0F48">
      <w:pPr>
        <w:pStyle w:val="BodyText"/>
        <w:spacing w:line="276" w:lineRule="auto"/>
        <w:ind w:left="160" w:right="155"/>
        <w:jc w:val="both"/>
      </w:pPr>
      <w:r>
        <w:t xml:space="preserve">After candidates’ work has been internally assessed, it is moderated by the awarding body to ensure consistency in marking between </w:t>
      </w:r>
      <w:proofErr w:type="spellStart"/>
      <w:r>
        <w:t>centres</w:t>
      </w:r>
      <w:proofErr w:type="spellEnd"/>
      <w:r>
        <w:t>. The moderation may lead to mark changes. This process is outside the control of Blackwater Academy</w:t>
      </w:r>
    </w:p>
    <w:p w14:paraId="59402C4D" w14:textId="77777777" w:rsidR="00186BC2" w:rsidRDefault="00186BC2">
      <w:pPr>
        <w:pStyle w:val="BodyText"/>
        <w:spacing w:line="276" w:lineRule="auto"/>
        <w:ind w:left="160" w:right="155"/>
        <w:jc w:val="both"/>
      </w:pPr>
    </w:p>
    <w:p w14:paraId="0DF06582" w14:textId="77777777" w:rsidR="00A01575" w:rsidRDefault="00BA0F48">
      <w:pPr>
        <w:pStyle w:val="BodyText"/>
        <w:spacing w:line="276" w:lineRule="auto"/>
        <w:ind w:left="160" w:right="155"/>
        <w:jc w:val="both"/>
      </w:pPr>
      <w:r>
        <w:t xml:space="preserve"> and is not covered by this procedure.</w:t>
      </w:r>
    </w:p>
    <w:p w14:paraId="5A72F667" w14:textId="77777777" w:rsidR="00A01575" w:rsidRDefault="00A01575">
      <w:pPr>
        <w:pStyle w:val="BodyText"/>
        <w:rPr>
          <w:sz w:val="20"/>
        </w:rPr>
      </w:pPr>
    </w:p>
    <w:p w14:paraId="0763C6E1" w14:textId="77777777" w:rsidR="00A01575" w:rsidRDefault="00A01575">
      <w:pPr>
        <w:pStyle w:val="BodyText"/>
        <w:rPr>
          <w:sz w:val="20"/>
        </w:rPr>
      </w:pPr>
    </w:p>
    <w:p w14:paraId="19D16A13" w14:textId="77777777" w:rsidR="00A01575" w:rsidRDefault="0092165E">
      <w:pPr>
        <w:pStyle w:val="BodyText"/>
        <w:spacing w:before="9"/>
        <w:rPr>
          <w:sz w:val="27"/>
        </w:rPr>
      </w:pPr>
      <w:r>
        <w:pict w14:anchorId="0E348C79">
          <v:line id="_x0000_s1026" style="position:absolute;z-index:251657728;mso-wrap-distance-left:0;mso-wrap-distance-right:0;mso-position-horizontal-relative:page" from="34.55pt,18.65pt" to="560.85pt,18.65pt" strokeweight="1.44pt">
            <w10:wrap type="topAndBottom" anchorx="page"/>
          </v:line>
        </w:pict>
      </w:r>
    </w:p>
    <w:p w14:paraId="11DF278F" w14:textId="77777777" w:rsidR="00A01575" w:rsidRDefault="00A01575">
      <w:pPr>
        <w:rPr>
          <w:sz w:val="27"/>
        </w:rPr>
        <w:sectPr w:rsidR="00A01575">
          <w:pgSz w:w="11910" w:h="16840"/>
          <w:pgMar w:top="1580" w:right="560" w:bottom="280" w:left="560" w:header="720" w:footer="720" w:gutter="0"/>
          <w:cols w:space="720"/>
        </w:sectPr>
      </w:pPr>
    </w:p>
    <w:p w14:paraId="38FD4575" w14:textId="77777777" w:rsidR="00A01575" w:rsidRDefault="00BA0F48">
      <w:pPr>
        <w:pStyle w:val="Heading1"/>
        <w:spacing w:before="55"/>
        <w:ind w:right="375"/>
      </w:pPr>
      <w:r>
        <w:rPr>
          <w:color w:val="FF3300"/>
        </w:rPr>
        <w:lastRenderedPageBreak/>
        <w:t xml:space="preserve">Appeals procedure against </w:t>
      </w:r>
      <w:proofErr w:type="spellStart"/>
      <w:r>
        <w:rPr>
          <w:color w:val="FF3300"/>
        </w:rPr>
        <w:t>centre</w:t>
      </w:r>
      <w:proofErr w:type="spellEnd"/>
      <w:r>
        <w:rPr>
          <w:color w:val="FF3300"/>
        </w:rPr>
        <w:t xml:space="preserve"> decisions not to support an enquiry about results</w:t>
      </w:r>
    </w:p>
    <w:p w14:paraId="675E6F4B" w14:textId="77777777" w:rsidR="00A01575" w:rsidRDefault="00A01575">
      <w:pPr>
        <w:pStyle w:val="BodyText"/>
        <w:rPr>
          <w:b/>
        </w:rPr>
      </w:pPr>
    </w:p>
    <w:p w14:paraId="2CE08FA0" w14:textId="77777777" w:rsidR="00A01575" w:rsidRDefault="00A01575">
      <w:pPr>
        <w:pStyle w:val="BodyText"/>
        <w:rPr>
          <w:b/>
        </w:rPr>
      </w:pPr>
    </w:p>
    <w:p w14:paraId="3DF2BEDF" w14:textId="77777777" w:rsidR="00A01575" w:rsidRDefault="00A01575">
      <w:pPr>
        <w:pStyle w:val="BodyText"/>
        <w:spacing w:before="7"/>
        <w:rPr>
          <w:b/>
          <w:sz w:val="19"/>
        </w:rPr>
      </w:pPr>
    </w:p>
    <w:p w14:paraId="2491515F" w14:textId="77777777" w:rsidR="00A01575" w:rsidRDefault="00BA0F48">
      <w:pPr>
        <w:pStyle w:val="BodyText"/>
        <w:spacing w:line="276" w:lineRule="auto"/>
        <w:ind w:left="100" w:right="375"/>
      </w:pPr>
      <w:r>
        <w:t xml:space="preserve">Following the issue of results, the general qualification awarding bodies offer </w:t>
      </w:r>
      <w:hyperlink r:id="rId5">
        <w:r>
          <w:rPr>
            <w:color w:val="0000FF"/>
            <w:u w:val="single" w:color="0000FF"/>
          </w:rPr>
          <w:t>post-results services</w:t>
        </w:r>
      </w:hyperlink>
      <w:r>
        <w:t>. Full details of these services, internal deadlines for requesting a service and fees charged will be provided by the exams officer.</w:t>
      </w:r>
    </w:p>
    <w:p w14:paraId="75EB739D" w14:textId="77777777" w:rsidR="00A01575" w:rsidRDefault="00A01575">
      <w:pPr>
        <w:pStyle w:val="BodyText"/>
        <w:spacing w:before="5"/>
        <w:rPr>
          <w:sz w:val="25"/>
        </w:rPr>
      </w:pPr>
    </w:p>
    <w:p w14:paraId="64BF4086" w14:textId="77777777" w:rsidR="00A01575" w:rsidRDefault="00BA0F48">
      <w:pPr>
        <w:pStyle w:val="BodyText"/>
        <w:spacing w:before="1" w:line="276" w:lineRule="auto"/>
        <w:ind w:left="100" w:right="104"/>
      </w:pPr>
      <w:r>
        <w:t xml:space="preserve">The service, </w:t>
      </w:r>
      <w:r>
        <w:rPr>
          <w:i/>
        </w:rPr>
        <w:t xml:space="preserve">enquiries about results </w:t>
      </w:r>
      <w:r>
        <w:t xml:space="preserve">(EARs), may be requested if there are reasonable grounds for believing there has been an error in marking. This may be on the recommendation by </w:t>
      </w:r>
      <w:proofErr w:type="spellStart"/>
      <w:r>
        <w:t>centre</w:t>
      </w:r>
      <w:proofErr w:type="spellEnd"/>
      <w:r>
        <w:t xml:space="preserve"> staff or directly requested by candidates, although we will always request that a candidate discussing this with their subject teacher, Head of Year or Senior member of Staff. The candidate themselves must always complete the Candidate Consent form, and be fully aware of the consequences of such an</w:t>
      </w:r>
      <w:r>
        <w:rPr>
          <w:spacing w:val="-23"/>
        </w:rPr>
        <w:t xml:space="preserve"> </w:t>
      </w:r>
      <w:r>
        <w:t>enquiry.</w:t>
      </w:r>
    </w:p>
    <w:p w14:paraId="181B4380" w14:textId="77777777" w:rsidR="00A01575" w:rsidRDefault="00A01575">
      <w:pPr>
        <w:pStyle w:val="BodyText"/>
        <w:spacing w:before="3"/>
        <w:rPr>
          <w:sz w:val="25"/>
        </w:rPr>
      </w:pPr>
    </w:p>
    <w:p w14:paraId="68F951C6" w14:textId="77777777" w:rsidR="00A01575" w:rsidRDefault="00BA0F48">
      <w:pPr>
        <w:pStyle w:val="BodyText"/>
        <w:spacing w:line="276" w:lineRule="auto"/>
        <w:ind w:left="100" w:right="693"/>
      </w:pPr>
      <w:r>
        <w:t xml:space="preserve">If a query is raised about a particular examination result, the exams officer, teaching staff and head of </w:t>
      </w:r>
      <w:proofErr w:type="spellStart"/>
      <w:r>
        <w:t>centre</w:t>
      </w:r>
      <w:proofErr w:type="spellEnd"/>
      <w:r>
        <w:t xml:space="preserve"> will investigate the feasibility of requesting an enquiry at the </w:t>
      </w:r>
      <w:proofErr w:type="spellStart"/>
      <w:r>
        <w:t>centre’s</w:t>
      </w:r>
      <w:proofErr w:type="spellEnd"/>
      <w:r>
        <w:t xml:space="preserve"> expense.</w:t>
      </w:r>
    </w:p>
    <w:p w14:paraId="3FC315B0" w14:textId="77777777" w:rsidR="00A01575" w:rsidRDefault="00A01575">
      <w:pPr>
        <w:pStyle w:val="BodyText"/>
        <w:spacing w:before="6"/>
        <w:rPr>
          <w:sz w:val="25"/>
        </w:rPr>
      </w:pPr>
    </w:p>
    <w:p w14:paraId="3A23C4F9" w14:textId="77777777" w:rsidR="00A01575" w:rsidRDefault="00BA0F48">
      <w:pPr>
        <w:pStyle w:val="BodyText"/>
        <w:spacing w:line="276" w:lineRule="auto"/>
        <w:ind w:left="100" w:right="631"/>
      </w:pPr>
      <w:r>
        <w:t xml:space="preserve">When </w:t>
      </w:r>
      <w:r w:rsidR="00186BC2">
        <w:t>Blackwater Academy</w:t>
      </w:r>
      <w:r>
        <w:t xml:space="preserve"> does not uphold a request from a candidate, the candidate may pay the appropriate fee, and a request will be made to the awarding body on the candidate’s behalf.</w:t>
      </w:r>
    </w:p>
    <w:p w14:paraId="09485B9A" w14:textId="77777777" w:rsidR="00A01575" w:rsidRDefault="00A01575">
      <w:pPr>
        <w:pStyle w:val="BodyText"/>
        <w:spacing w:before="3"/>
        <w:rPr>
          <w:sz w:val="25"/>
        </w:rPr>
      </w:pPr>
    </w:p>
    <w:p w14:paraId="37EEDFF0" w14:textId="77777777" w:rsidR="00A01575" w:rsidRDefault="00BA0F48">
      <w:pPr>
        <w:pStyle w:val="BodyText"/>
        <w:spacing w:line="276" w:lineRule="auto"/>
        <w:ind w:left="100" w:right="436"/>
      </w:pPr>
      <w:r>
        <w:t>If the candidate (or their parent/</w:t>
      </w:r>
      <w:proofErr w:type="spellStart"/>
      <w:r>
        <w:t>carer</w:t>
      </w:r>
      <w:proofErr w:type="spellEnd"/>
      <w:r>
        <w:t xml:space="preserve">) believes there are grounds to appeal against the </w:t>
      </w:r>
      <w:proofErr w:type="spellStart"/>
      <w:r>
        <w:t>centre’s</w:t>
      </w:r>
      <w:proofErr w:type="spellEnd"/>
      <w:r>
        <w:t xml:space="preserve"> decision not to support an enquiry, an appeal can be submitted to the </w:t>
      </w:r>
      <w:proofErr w:type="spellStart"/>
      <w:r>
        <w:t>centre</w:t>
      </w:r>
      <w:proofErr w:type="spellEnd"/>
      <w:r>
        <w:t xml:space="preserve"> using the </w:t>
      </w:r>
      <w:r>
        <w:rPr>
          <w:b/>
        </w:rPr>
        <w:t xml:space="preserve">internal appeals form </w:t>
      </w:r>
      <w:r>
        <w:t xml:space="preserve">at least </w:t>
      </w:r>
      <w:r>
        <w:rPr>
          <w:b/>
        </w:rPr>
        <w:t xml:space="preserve">one week prior to </w:t>
      </w:r>
      <w:r>
        <w:t>the internal deadline for submitting an EAR.</w:t>
      </w:r>
    </w:p>
    <w:p w14:paraId="6211CE7B" w14:textId="77777777" w:rsidR="00A01575" w:rsidRDefault="00A01575">
      <w:pPr>
        <w:pStyle w:val="BodyText"/>
      </w:pPr>
    </w:p>
    <w:p w14:paraId="602B2BC9" w14:textId="77777777" w:rsidR="00A01575" w:rsidRDefault="00A01575">
      <w:pPr>
        <w:pStyle w:val="BodyText"/>
      </w:pPr>
    </w:p>
    <w:p w14:paraId="733B9575" w14:textId="77777777" w:rsidR="00A01575" w:rsidRDefault="00A01575">
      <w:pPr>
        <w:pStyle w:val="BodyText"/>
        <w:spacing w:before="1"/>
        <w:rPr>
          <w:sz w:val="24"/>
        </w:rPr>
      </w:pPr>
    </w:p>
    <w:p w14:paraId="4FE1A8BB" w14:textId="77777777" w:rsidR="00A01575" w:rsidRDefault="00BA0F48">
      <w:pPr>
        <w:pStyle w:val="Heading1"/>
        <w:ind w:right="375"/>
      </w:pPr>
      <w:r>
        <w:rPr>
          <w:color w:val="FF3300"/>
        </w:rPr>
        <w:t>Appeals procedure following the outcome of an enquiry about results</w:t>
      </w:r>
    </w:p>
    <w:p w14:paraId="1F12F842" w14:textId="77777777" w:rsidR="00A01575" w:rsidRDefault="00A01575">
      <w:pPr>
        <w:pStyle w:val="BodyText"/>
        <w:rPr>
          <w:b/>
        </w:rPr>
      </w:pPr>
    </w:p>
    <w:p w14:paraId="35CACC27" w14:textId="77777777" w:rsidR="00A01575" w:rsidRDefault="00A01575">
      <w:pPr>
        <w:pStyle w:val="BodyText"/>
        <w:rPr>
          <w:b/>
        </w:rPr>
      </w:pPr>
    </w:p>
    <w:p w14:paraId="4006B548" w14:textId="77777777" w:rsidR="00A01575" w:rsidRDefault="00A01575">
      <w:pPr>
        <w:pStyle w:val="BodyText"/>
        <w:spacing w:before="7"/>
        <w:rPr>
          <w:b/>
          <w:sz w:val="19"/>
        </w:rPr>
      </w:pPr>
    </w:p>
    <w:p w14:paraId="5C655F13" w14:textId="77777777" w:rsidR="00A01575" w:rsidRDefault="00BA0F48">
      <w:pPr>
        <w:pStyle w:val="BodyText"/>
        <w:spacing w:line="276" w:lineRule="auto"/>
        <w:ind w:left="100" w:right="438"/>
      </w:pPr>
      <w:r>
        <w:t xml:space="preserve">Where the head of </w:t>
      </w:r>
      <w:proofErr w:type="spellStart"/>
      <w:r>
        <w:t>centre</w:t>
      </w:r>
      <w:proofErr w:type="spellEnd"/>
      <w:r>
        <w:t xml:space="preserve"> remains dissatisfied after receiving the outcome of an EARs, an appeal will be made to the awarding body, following the guidance in the JCQ publications Post</w:t>
      </w:r>
      <w:r>
        <w:rPr>
          <w:i/>
        </w:rPr>
        <w:t xml:space="preserve">-results services </w:t>
      </w:r>
      <w:hyperlink r:id="rId6">
        <w:r>
          <w:rPr>
            <w:color w:val="0000FF"/>
            <w:u w:val="single" w:color="0000FF"/>
          </w:rPr>
          <w:t xml:space="preserve">http://www.jcq.org.uk/exams-office/post-results-services </w:t>
        </w:r>
      </w:hyperlink>
      <w:r>
        <w:t xml:space="preserve">and </w:t>
      </w:r>
      <w:r>
        <w:rPr>
          <w:i/>
        </w:rPr>
        <w:t xml:space="preserve">A guide to the awarding bodies’ appeals processes </w:t>
      </w:r>
      <w:hyperlink r:id="rId7">
        <w:r>
          <w:rPr>
            <w:color w:val="0000FF"/>
            <w:u w:val="single" w:color="0000FF"/>
          </w:rPr>
          <w:t>http://www.jcq.org.uk/exams-office/appeals</w:t>
        </w:r>
      </w:hyperlink>
    </w:p>
    <w:p w14:paraId="37FD4687" w14:textId="77777777" w:rsidR="00A01575" w:rsidRDefault="00A01575">
      <w:pPr>
        <w:pStyle w:val="BodyText"/>
        <w:rPr>
          <w:sz w:val="11"/>
        </w:rPr>
      </w:pPr>
    </w:p>
    <w:p w14:paraId="0A876EBB" w14:textId="77777777" w:rsidR="00A01575" w:rsidRDefault="00BA0F48">
      <w:pPr>
        <w:pStyle w:val="BodyText"/>
        <w:spacing w:before="73" w:line="276" w:lineRule="auto"/>
        <w:ind w:left="100" w:right="253"/>
      </w:pPr>
      <w:r>
        <w:t xml:space="preserve">Where the head of </w:t>
      </w:r>
      <w:proofErr w:type="spellStart"/>
      <w:r>
        <w:t>centre</w:t>
      </w:r>
      <w:proofErr w:type="spellEnd"/>
      <w:r>
        <w:t xml:space="preserve"> is satisfied after receiving the outcome of an EAR, but the internal candidates and/or their parents/</w:t>
      </w:r>
      <w:proofErr w:type="spellStart"/>
      <w:r>
        <w:t>carers</w:t>
      </w:r>
      <w:proofErr w:type="spellEnd"/>
      <w:r>
        <w:t xml:space="preserve"> are not satisfied, they may make a further representation to the head of </w:t>
      </w:r>
      <w:proofErr w:type="spellStart"/>
      <w:r>
        <w:t>centre</w:t>
      </w:r>
      <w:proofErr w:type="spellEnd"/>
      <w:r>
        <w:t xml:space="preserve">. Following this, the head of </w:t>
      </w:r>
      <w:proofErr w:type="spellStart"/>
      <w:r>
        <w:t>centre’s</w:t>
      </w:r>
      <w:proofErr w:type="spellEnd"/>
      <w:r>
        <w:t xml:space="preserve"> decision as to whether to proceed with an appeal will be based upon the </w:t>
      </w:r>
      <w:proofErr w:type="spellStart"/>
      <w:r>
        <w:t>centre’s</w:t>
      </w:r>
      <w:proofErr w:type="spellEnd"/>
      <w:r>
        <w:t xml:space="preserve"> internal appeals arrangements. Candidates, parents/</w:t>
      </w:r>
      <w:proofErr w:type="spellStart"/>
      <w:r>
        <w:t>carers</w:t>
      </w:r>
      <w:proofErr w:type="spellEnd"/>
      <w:r>
        <w:t xml:space="preserve"> are not permitted to make direct representations to an awarding body.</w:t>
      </w:r>
    </w:p>
    <w:p w14:paraId="08AFAC91" w14:textId="77777777" w:rsidR="00A01575" w:rsidRDefault="00A01575">
      <w:pPr>
        <w:pStyle w:val="BodyText"/>
        <w:spacing w:before="6"/>
        <w:rPr>
          <w:sz w:val="27"/>
        </w:rPr>
      </w:pPr>
    </w:p>
    <w:p w14:paraId="567BE5BB" w14:textId="77777777" w:rsidR="00A01575" w:rsidRDefault="00BA0F48">
      <w:pPr>
        <w:pStyle w:val="BodyText"/>
        <w:spacing w:before="1" w:line="276" w:lineRule="auto"/>
        <w:ind w:left="100" w:right="363"/>
      </w:pPr>
      <w:r>
        <w:t xml:space="preserve">The </w:t>
      </w:r>
      <w:r>
        <w:rPr>
          <w:b/>
        </w:rPr>
        <w:t xml:space="preserve">internal appeals form </w:t>
      </w:r>
      <w:r>
        <w:t xml:space="preserve">should be completed and submitted to the </w:t>
      </w:r>
      <w:proofErr w:type="spellStart"/>
      <w:r>
        <w:t>centre</w:t>
      </w:r>
      <w:proofErr w:type="spellEnd"/>
      <w:r>
        <w:t xml:space="preserve"> within </w:t>
      </w:r>
      <w:r>
        <w:rPr>
          <w:b/>
        </w:rPr>
        <w:t xml:space="preserve">10 calendar days </w:t>
      </w:r>
      <w:r>
        <w:t xml:space="preserve">of the notification of the outcome of the enquiry. Subject to the head of </w:t>
      </w:r>
      <w:proofErr w:type="spellStart"/>
      <w:r>
        <w:t>centre’s</w:t>
      </w:r>
      <w:proofErr w:type="spellEnd"/>
      <w:r>
        <w:t xml:space="preserve"> decision, this will allow the </w:t>
      </w:r>
      <w:proofErr w:type="spellStart"/>
      <w:r>
        <w:t>centre</w:t>
      </w:r>
      <w:proofErr w:type="spellEnd"/>
      <w:r>
        <w:t xml:space="preserve"> to process the appeal and submit to the awarding body within the required 14 calendar days.</w:t>
      </w:r>
    </w:p>
    <w:p w14:paraId="6A291378" w14:textId="77777777" w:rsidR="00A01575" w:rsidRDefault="00BA0F48">
      <w:pPr>
        <w:pStyle w:val="BodyText"/>
        <w:spacing w:line="276" w:lineRule="auto"/>
        <w:ind w:left="100" w:right="240"/>
      </w:pPr>
      <w:r>
        <w:t xml:space="preserve">Awarding body fees which may be charged for the appeal must be paid by the appellant on submission on the internal appeals form. If the appeal is upheld by the awarding body, this fee will be refunded by the awarding body and repaid to the appellant by the </w:t>
      </w:r>
      <w:proofErr w:type="spellStart"/>
      <w:r>
        <w:t>centre</w:t>
      </w:r>
      <w:proofErr w:type="spellEnd"/>
      <w:r>
        <w:t>.</w:t>
      </w:r>
    </w:p>
    <w:p w14:paraId="44DCC8F2" w14:textId="77777777" w:rsidR="00A01575" w:rsidRDefault="00A01575">
      <w:pPr>
        <w:spacing w:line="276" w:lineRule="auto"/>
        <w:sectPr w:rsidR="00A01575">
          <w:pgSz w:w="11910" w:h="16840"/>
          <w:pgMar w:top="980" w:right="620" w:bottom="280" w:left="620" w:header="720" w:footer="720" w:gutter="0"/>
          <w:cols w:space="720"/>
        </w:sectPr>
      </w:pPr>
    </w:p>
    <w:p w14:paraId="6515CA66" w14:textId="77777777" w:rsidR="00A01575" w:rsidRDefault="00BA0F48">
      <w:pPr>
        <w:spacing w:before="43"/>
        <w:ind w:left="180" w:right="215"/>
        <w:rPr>
          <w:b/>
          <w:sz w:val="24"/>
        </w:rPr>
      </w:pPr>
      <w:r>
        <w:rPr>
          <w:b/>
          <w:color w:val="003399"/>
          <w:sz w:val="24"/>
        </w:rPr>
        <w:lastRenderedPageBreak/>
        <w:t>Internal appeals form</w:t>
      </w:r>
    </w:p>
    <w:p w14:paraId="100286C5" w14:textId="77777777" w:rsidR="00A01575" w:rsidRDefault="00BA0F48">
      <w:pPr>
        <w:spacing w:before="121" w:line="364" w:lineRule="auto"/>
        <w:ind w:left="180" w:right="5053"/>
        <w:rPr>
          <w:sz w:val="20"/>
        </w:rPr>
      </w:pPr>
      <w:r>
        <w:rPr>
          <w:sz w:val="20"/>
        </w:rPr>
        <w:t>This form should be completed in all cases to lodge an appeal. Please tick to indicate what the appeal is against:</w:t>
      </w:r>
    </w:p>
    <w:p w14:paraId="4BF8F3A1" w14:textId="77777777" w:rsidR="00A01575" w:rsidRDefault="00BA0F48">
      <w:pPr>
        <w:pStyle w:val="Heading1"/>
        <w:numPr>
          <w:ilvl w:val="1"/>
          <w:numId w:val="2"/>
        </w:numPr>
        <w:tabs>
          <w:tab w:val="left" w:pos="1261"/>
        </w:tabs>
        <w:spacing w:line="297" w:lineRule="exact"/>
      </w:pPr>
      <w:r>
        <w:t>an internal assessment</w:t>
      </w:r>
      <w:r>
        <w:rPr>
          <w:spacing w:val="-5"/>
        </w:rPr>
        <w:t xml:space="preserve"> </w:t>
      </w:r>
      <w:r>
        <w:t>decision</w:t>
      </w:r>
    </w:p>
    <w:p w14:paraId="28A74CF1" w14:textId="77777777" w:rsidR="00A01575" w:rsidRDefault="00BA0F48">
      <w:pPr>
        <w:pStyle w:val="ListParagraph"/>
        <w:numPr>
          <w:ilvl w:val="1"/>
          <w:numId w:val="2"/>
        </w:numPr>
        <w:tabs>
          <w:tab w:val="left" w:pos="1261"/>
        </w:tabs>
        <w:spacing w:before="11"/>
        <w:rPr>
          <w:b/>
        </w:rPr>
      </w:pPr>
      <w:r>
        <w:rPr>
          <w:b/>
        </w:rPr>
        <w:t xml:space="preserve">the </w:t>
      </w:r>
      <w:proofErr w:type="spellStart"/>
      <w:r>
        <w:rPr>
          <w:b/>
        </w:rPr>
        <w:t>centre</w:t>
      </w:r>
      <w:proofErr w:type="spellEnd"/>
      <w:r>
        <w:rPr>
          <w:b/>
        </w:rPr>
        <w:t xml:space="preserve"> decision not to support an enquiry about</w:t>
      </w:r>
      <w:r>
        <w:rPr>
          <w:b/>
          <w:spacing w:val="-17"/>
        </w:rPr>
        <w:t xml:space="preserve"> </w:t>
      </w:r>
      <w:r>
        <w:rPr>
          <w:b/>
        </w:rPr>
        <w:t>results</w:t>
      </w:r>
    </w:p>
    <w:p w14:paraId="353F9125" w14:textId="77777777" w:rsidR="00A01575" w:rsidRDefault="00BA0F48">
      <w:pPr>
        <w:pStyle w:val="ListParagraph"/>
        <w:numPr>
          <w:ilvl w:val="1"/>
          <w:numId w:val="2"/>
        </w:numPr>
        <w:tabs>
          <w:tab w:val="left" w:pos="1261"/>
        </w:tabs>
        <w:spacing w:before="8"/>
        <w:rPr>
          <w:b/>
        </w:rPr>
      </w:pPr>
      <w:r>
        <w:rPr>
          <w:b/>
        </w:rPr>
        <w:t>the outcome of an enquiry about</w:t>
      </w:r>
      <w:r>
        <w:rPr>
          <w:b/>
          <w:spacing w:val="-8"/>
        </w:rPr>
        <w:t xml:space="preserve"> </w:t>
      </w:r>
      <w:r>
        <w:rPr>
          <w:b/>
        </w:rPr>
        <w:t>results</w:t>
      </w:r>
    </w:p>
    <w:p w14:paraId="62AFF8E1" w14:textId="77777777" w:rsidR="00A01575" w:rsidRDefault="00A01575">
      <w:pPr>
        <w:pStyle w:val="BodyText"/>
        <w:spacing w:before="1"/>
        <w:rPr>
          <w:b/>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1"/>
        <w:gridCol w:w="2977"/>
        <w:gridCol w:w="2127"/>
        <w:gridCol w:w="3543"/>
      </w:tblGrid>
      <w:tr w:rsidR="00A01575" w14:paraId="0E46C841" w14:textId="77777777">
        <w:trPr>
          <w:trHeight w:hRule="exact" w:val="677"/>
        </w:trPr>
        <w:tc>
          <w:tcPr>
            <w:tcW w:w="1901" w:type="dxa"/>
            <w:shd w:val="clear" w:color="auto" w:fill="FF3300"/>
          </w:tcPr>
          <w:p w14:paraId="13EBB1AC" w14:textId="77777777" w:rsidR="00A01575" w:rsidRDefault="00A01575">
            <w:pPr>
              <w:pStyle w:val="TableParagraph"/>
              <w:spacing w:before="5"/>
              <w:rPr>
                <w:b/>
                <w:sz w:val="16"/>
              </w:rPr>
            </w:pPr>
          </w:p>
          <w:p w14:paraId="540BD678" w14:textId="77777777" w:rsidR="00A01575" w:rsidRDefault="00BA0F48">
            <w:pPr>
              <w:pStyle w:val="TableParagraph"/>
              <w:ind w:left="52"/>
              <w:rPr>
                <w:b/>
                <w:sz w:val="20"/>
              </w:rPr>
            </w:pPr>
            <w:r>
              <w:rPr>
                <w:b/>
                <w:color w:val="FFFFFF"/>
                <w:sz w:val="20"/>
              </w:rPr>
              <w:t>Name of appellant</w:t>
            </w:r>
          </w:p>
        </w:tc>
        <w:tc>
          <w:tcPr>
            <w:tcW w:w="2977" w:type="dxa"/>
          </w:tcPr>
          <w:p w14:paraId="652FA244" w14:textId="77777777" w:rsidR="00A01575" w:rsidRDefault="00A01575"/>
        </w:tc>
        <w:tc>
          <w:tcPr>
            <w:tcW w:w="2127" w:type="dxa"/>
            <w:shd w:val="clear" w:color="auto" w:fill="FF3300"/>
          </w:tcPr>
          <w:p w14:paraId="6F710163" w14:textId="77777777" w:rsidR="00A01575" w:rsidRDefault="00BA0F48">
            <w:pPr>
              <w:pStyle w:val="TableParagraph"/>
              <w:spacing w:before="52"/>
              <w:ind w:left="52" w:right="42"/>
              <w:rPr>
                <w:b/>
                <w:sz w:val="20"/>
              </w:rPr>
            </w:pPr>
            <w:r>
              <w:rPr>
                <w:b/>
                <w:color w:val="FFFFFF"/>
                <w:sz w:val="20"/>
              </w:rPr>
              <w:t>Candidate name</w:t>
            </w:r>
          </w:p>
          <w:p w14:paraId="5D4F2860" w14:textId="77777777" w:rsidR="00A01575" w:rsidRDefault="00BA0F48">
            <w:pPr>
              <w:pStyle w:val="TableParagraph"/>
              <w:spacing w:before="46"/>
              <w:ind w:left="52" w:right="42"/>
              <w:rPr>
                <w:i/>
                <w:sz w:val="20"/>
              </w:rPr>
            </w:pPr>
            <w:r>
              <w:rPr>
                <w:color w:val="FFFFFF"/>
                <w:sz w:val="20"/>
              </w:rPr>
              <w:t>i</w:t>
            </w:r>
            <w:r>
              <w:rPr>
                <w:i/>
                <w:color w:val="FFFFFF"/>
                <w:sz w:val="20"/>
              </w:rPr>
              <w:t>f different to appellant</w:t>
            </w:r>
          </w:p>
        </w:tc>
        <w:tc>
          <w:tcPr>
            <w:tcW w:w="3543" w:type="dxa"/>
          </w:tcPr>
          <w:p w14:paraId="40CCDCFE" w14:textId="77777777" w:rsidR="00A01575" w:rsidRDefault="00A01575"/>
        </w:tc>
      </w:tr>
      <w:tr w:rsidR="00A01575" w14:paraId="2D000008" w14:textId="77777777">
        <w:trPr>
          <w:trHeight w:hRule="exact" w:val="583"/>
        </w:trPr>
        <w:tc>
          <w:tcPr>
            <w:tcW w:w="1901" w:type="dxa"/>
            <w:shd w:val="clear" w:color="auto" w:fill="DDD9C3"/>
          </w:tcPr>
          <w:p w14:paraId="4C7D2022" w14:textId="77777777" w:rsidR="00A01575" w:rsidRDefault="00BA0F48">
            <w:pPr>
              <w:pStyle w:val="TableParagraph"/>
              <w:spacing w:before="112"/>
              <w:ind w:left="52"/>
              <w:rPr>
                <w:sz w:val="20"/>
              </w:rPr>
            </w:pPr>
            <w:r>
              <w:rPr>
                <w:sz w:val="20"/>
              </w:rPr>
              <w:t>Awarding body</w:t>
            </w:r>
          </w:p>
        </w:tc>
        <w:tc>
          <w:tcPr>
            <w:tcW w:w="2977" w:type="dxa"/>
          </w:tcPr>
          <w:p w14:paraId="77468CDE" w14:textId="77777777" w:rsidR="00A01575" w:rsidRDefault="00A01575"/>
        </w:tc>
        <w:tc>
          <w:tcPr>
            <w:tcW w:w="2127" w:type="dxa"/>
            <w:shd w:val="clear" w:color="auto" w:fill="DDD9C3"/>
          </w:tcPr>
          <w:p w14:paraId="68971CA7" w14:textId="77777777" w:rsidR="00A01575" w:rsidRDefault="00BA0F48">
            <w:pPr>
              <w:pStyle w:val="TableParagraph"/>
              <w:spacing w:before="55"/>
              <w:ind w:left="52" w:right="42"/>
              <w:rPr>
                <w:sz w:val="20"/>
              </w:rPr>
            </w:pPr>
            <w:r>
              <w:rPr>
                <w:w w:val="95"/>
                <w:sz w:val="20"/>
              </w:rPr>
              <w:t xml:space="preserve">Unit/module/exam </w:t>
            </w:r>
            <w:r>
              <w:rPr>
                <w:sz w:val="20"/>
              </w:rPr>
              <w:t>paper code</w:t>
            </w:r>
          </w:p>
        </w:tc>
        <w:tc>
          <w:tcPr>
            <w:tcW w:w="3543" w:type="dxa"/>
          </w:tcPr>
          <w:p w14:paraId="08332430" w14:textId="77777777" w:rsidR="00A01575" w:rsidRDefault="00A01575"/>
        </w:tc>
      </w:tr>
      <w:tr w:rsidR="00A01575" w14:paraId="782011BF" w14:textId="77777777">
        <w:trPr>
          <w:trHeight w:hRule="exact" w:val="708"/>
        </w:trPr>
        <w:tc>
          <w:tcPr>
            <w:tcW w:w="1901" w:type="dxa"/>
            <w:shd w:val="clear" w:color="auto" w:fill="DDD9C3"/>
          </w:tcPr>
          <w:p w14:paraId="740E0E64" w14:textId="77777777" w:rsidR="00A01575" w:rsidRDefault="00BA0F48">
            <w:pPr>
              <w:pStyle w:val="TableParagraph"/>
              <w:spacing w:before="175"/>
              <w:ind w:left="52"/>
              <w:rPr>
                <w:sz w:val="20"/>
              </w:rPr>
            </w:pPr>
            <w:r>
              <w:rPr>
                <w:sz w:val="20"/>
              </w:rPr>
              <w:t>Subject</w:t>
            </w:r>
          </w:p>
        </w:tc>
        <w:tc>
          <w:tcPr>
            <w:tcW w:w="2977" w:type="dxa"/>
          </w:tcPr>
          <w:p w14:paraId="5A4B0A36" w14:textId="77777777" w:rsidR="00A01575" w:rsidRDefault="00A01575"/>
        </w:tc>
        <w:tc>
          <w:tcPr>
            <w:tcW w:w="2127" w:type="dxa"/>
            <w:shd w:val="clear" w:color="auto" w:fill="DDD9C3"/>
          </w:tcPr>
          <w:p w14:paraId="0BD3AB70" w14:textId="77777777" w:rsidR="00A01575" w:rsidRDefault="00BA0F48">
            <w:pPr>
              <w:pStyle w:val="TableParagraph"/>
              <w:spacing w:before="117"/>
              <w:ind w:left="52" w:right="42"/>
              <w:rPr>
                <w:sz w:val="20"/>
              </w:rPr>
            </w:pPr>
            <w:r>
              <w:rPr>
                <w:w w:val="95"/>
                <w:sz w:val="20"/>
              </w:rPr>
              <w:t xml:space="preserve">Unit/module/exam </w:t>
            </w:r>
            <w:r>
              <w:rPr>
                <w:sz w:val="20"/>
              </w:rPr>
              <w:t>paper title</w:t>
            </w:r>
          </w:p>
        </w:tc>
        <w:tc>
          <w:tcPr>
            <w:tcW w:w="3543" w:type="dxa"/>
          </w:tcPr>
          <w:p w14:paraId="526497CA" w14:textId="77777777" w:rsidR="00A01575" w:rsidRDefault="00A01575"/>
        </w:tc>
      </w:tr>
      <w:tr w:rsidR="00A01575" w14:paraId="47E9FE6B" w14:textId="77777777">
        <w:trPr>
          <w:trHeight w:hRule="exact" w:val="4955"/>
        </w:trPr>
        <w:tc>
          <w:tcPr>
            <w:tcW w:w="10548" w:type="dxa"/>
            <w:gridSpan w:val="4"/>
          </w:tcPr>
          <w:p w14:paraId="0155C5C6" w14:textId="77777777" w:rsidR="00A01575" w:rsidRDefault="00BA0F48">
            <w:pPr>
              <w:pStyle w:val="TableParagraph"/>
              <w:spacing w:before="55"/>
              <w:ind w:left="52"/>
              <w:rPr>
                <w:sz w:val="20"/>
              </w:rPr>
            </w:pPr>
            <w:r>
              <w:rPr>
                <w:sz w:val="20"/>
              </w:rPr>
              <w:t>Please state the grounds for your appeal below:</w:t>
            </w:r>
          </w:p>
          <w:p w14:paraId="5290FA4C" w14:textId="77777777" w:rsidR="00A01575" w:rsidRDefault="00A01575">
            <w:pPr>
              <w:pStyle w:val="TableParagraph"/>
              <w:rPr>
                <w:b/>
                <w:sz w:val="20"/>
              </w:rPr>
            </w:pPr>
          </w:p>
          <w:p w14:paraId="1EDF0663" w14:textId="77777777" w:rsidR="00A01575" w:rsidRDefault="00A01575">
            <w:pPr>
              <w:pStyle w:val="TableParagraph"/>
              <w:rPr>
                <w:b/>
                <w:sz w:val="20"/>
              </w:rPr>
            </w:pPr>
          </w:p>
          <w:p w14:paraId="6D04BB8F" w14:textId="77777777" w:rsidR="00A01575" w:rsidRDefault="00A01575">
            <w:pPr>
              <w:pStyle w:val="TableParagraph"/>
              <w:rPr>
                <w:b/>
                <w:sz w:val="20"/>
              </w:rPr>
            </w:pPr>
          </w:p>
          <w:p w14:paraId="699C549C" w14:textId="77777777" w:rsidR="00A01575" w:rsidRDefault="00A01575">
            <w:pPr>
              <w:pStyle w:val="TableParagraph"/>
              <w:rPr>
                <w:b/>
                <w:sz w:val="20"/>
              </w:rPr>
            </w:pPr>
          </w:p>
          <w:p w14:paraId="2D66C1A9" w14:textId="77777777" w:rsidR="00A01575" w:rsidRDefault="00A01575">
            <w:pPr>
              <w:pStyle w:val="TableParagraph"/>
              <w:rPr>
                <w:b/>
                <w:sz w:val="20"/>
              </w:rPr>
            </w:pPr>
          </w:p>
          <w:p w14:paraId="5A2033D4" w14:textId="77777777" w:rsidR="00A01575" w:rsidRDefault="00A01575">
            <w:pPr>
              <w:pStyle w:val="TableParagraph"/>
              <w:rPr>
                <w:b/>
                <w:sz w:val="20"/>
              </w:rPr>
            </w:pPr>
          </w:p>
          <w:p w14:paraId="20713824" w14:textId="77777777" w:rsidR="00A01575" w:rsidRDefault="00A01575">
            <w:pPr>
              <w:pStyle w:val="TableParagraph"/>
              <w:rPr>
                <w:b/>
                <w:sz w:val="20"/>
              </w:rPr>
            </w:pPr>
          </w:p>
          <w:p w14:paraId="328374AD" w14:textId="77777777" w:rsidR="00A01575" w:rsidRDefault="00A01575">
            <w:pPr>
              <w:pStyle w:val="TableParagraph"/>
              <w:rPr>
                <w:b/>
                <w:sz w:val="20"/>
              </w:rPr>
            </w:pPr>
          </w:p>
          <w:p w14:paraId="781FE224" w14:textId="77777777" w:rsidR="00A01575" w:rsidRDefault="00A01575">
            <w:pPr>
              <w:pStyle w:val="TableParagraph"/>
              <w:rPr>
                <w:b/>
                <w:sz w:val="20"/>
              </w:rPr>
            </w:pPr>
          </w:p>
          <w:p w14:paraId="7A338259" w14:textId="77777777" w:rsidR="00A01575" w:rsidRDefault="00A01575">
            <w:pPr>
              <w:pStyle w:val="TableParagraph"/>
              <w:rPr>
                <w:b/>
                <w:sz w:val="20"/>
              </w:rPr>
            </w:pPr>
          </w:p>
          <w:p w14:paraId="251C9987" w14:textId="77777777" w:rsidR="00A01575" w:rsidRDefault="00A01575">
            <w:pPr>
              <w:pStyle w:val="TableParagraph"/>
              <w:rPr>
                <w:b/>
                <w:sz w:val="20"/>
              </w:rPr>
            </w:pPr>
          </w:p>
          <w:p w14:paraId="553A99FF" w14:textId="77777777" w:rsidR="00A01575" w:rsidRDefault="00A01575">
            <w:pPr>
              <w:pStyle w:val="TableParagraph"/>
              <w:rPr>
                <w:b/>
                <w:sz w:val="20"/>
              </w:rPr>
            </w:pPr>
          </w:p>
          <w:p w14:paraId="4432B031" w14:textId="77777777" w:rsidR="00A01575" w:rsidRDefault="00A01575">
            <w:pPr>
              <w:pStyle w:val="TableParagraph"/>
              <w:rPr>
                <w:b/>
                <w:sz w:val="20"/>
              </w:rPr>
            </w:pPr>
          </w:p>
          <w:p w14:paraId="679E187F" w14:textId="77777777" w:rsidR="00A01575" w:rsidRDefault="00A01575">
            <w:pPr>
              <w:pStyle w:val="TableParagraph"/>
              <w:rPr>
                <w:b/>
                <w:sz w:val="20"/>
              </w:rPr>
            </w:pPr>
          </w:p>
          <w:p w14:paraId="371EB207" w14:textId="77777777" w:rsidR="00A01575" w:rsidRDefault="00A01575">
            <w:pPr>
              <w:pStyle w:val="TableParagraph"/>
              <w:rPr>
                <w:b/>
                <w:sz w:val="20"/>
              </w:rPr>
            </w:pPr>
          </w:p>
          <w:p w14:paraId="2FA093FB" w14:textId="77777777" w:rsidR="00A01575" w:rsidRDefault="00A01575">
            <w:pPr>
              <w:pStyle w:val="TableParagraph"/>
              <w:rPr>
                <w:b/>
                <w:sz w:val="20"/>
              </w:rPr>
            </w:pPr>
          </w:p>
          <w:p w14:paraId="3E59CB11" w14:textId="77777777" w:rsidR="00A01575" w:rsidRDefault="00A01575">
            <w:pPr>
              <w:pStyle w:val="TableParagraph"/>
              <w:rPr>
                <w:b/>
                <w:sz w:val="20"/>
              </w:rPr>
            </w:pPr>
          </w:p>
          <w:p w14:paraId="15D01E93" w14:textId="77777777" w:rsidR="00A01575" w:rsidRDefault="00A01575">
            <w:pPr>
              <w:pStyle w:val="TableParagraph"/>
              <w:spacing w:before="8"/>
              <w:rPr>
                <w:b/>
                <w:sz w:val="29"/>
              </w:rPr>
            </w:pPr>
          </w:p>
          <w:p w14:paraId="6C31A73F" w14:textId="77777777" w:rsidR="00A01575" w:rsidRDefault="00BA0F48">
            <w:pPr>
              <w:pStyle w:val="TableParagraph"/>
              <w:ind w:right="81"/>
              <w:jc w:val="right"/>
              <w:rPr>
                <w:i/>
                <w:sz w:val="20"/>
              </w:rPr>
            </w:pPr>
            <w:r>
              <w:rPr>
                <w:i/>
                <w:sz w:val="20"/>
              </w:rPr>
              <w:t>Continue overleaf if necessary</w:t>
            </w:r>
          </w:p>
        </w:tc>
      </w:tr>
      <w:tr w:rsidR="00A01575" w14:paraId="2DA18688" w14:textId="77777777">
        <w:trPr>
          <w:trHeight w:hRule="exact" w:val="1824"/>
        </w:trPr>
        <w:tc>
          <w:tcPr>
            <w:tcW w:w="10548" w:type="dxa"/>
            <w:gridSpan w:val="4"/>
          </w:tcPr>
          <w:p w14:paraId="76D22350" w14:textId="77777777" w:rsidR="00A01575" w:rsidRDefault="00BA0F48">
            <w:pPr>
              <w:pStyle w:val="TableParagraph"/>
              <w:spacing w:before="52" w:line="229" w:lineRule="exact"/>
              <w:ind w:left="52"/>
              <w:jc w:val="both"/>
              <w:rPr>
                <w:b/>
                <w:sz w:val="20"/>
              </w:rPr>
            </w:pPr>
            <w:r>
              <w:rPr>
                <w:b/>
                <w:color w:val="FF3300"/>
                <w:sz w:val="20"/>
              </w:rPr>
              <w:t>Appeal against an internal assessment decision</w:t>
            </w:r>
          </w:p>
          <w:p w14:paraId="76A1A919" w14:textId="77777777" w:rsidR="00A01575" w:rsidRDefault="00BA0F48">
            <w:pPr>
              <w:pStyle w:val="TableParagraph"/>
              <w:spacing w:line="206" w:lineRule="exact"/>
              <w:ind w:left="52"/>
              <w:jc w:val="both"/>
              <w:rPr>
                <w:b/>
                <w:sz w:val="18"/>
              </w:rPr>
            </w:pPr>
            <w:r>
              <w:rPr>
                <w:b/>
                <w:sz w:val="18"/>
              </w:rPr>
              <w:t>Appellant declaration</w:t>
            </w:r>
          </w:p>
          <w:p w14:paraId="32E119CC" w14:textId="77777777" w:rsidR="00A01575" w:rsidRDefault="00BA0F48">
            <w:pPr>
              <w:pStyle w:val="TableParagraph"/>
              <w:spacing w:before="6"/>
              <w:ind w:left="52" w:right="76"/>
              <w:jc w:val="both"/>
              <w:rPr>
                <w:sz w:val="18"/>
              </w:rPr>
            </w:pPr>
            <w:r>
              <w:rPr>
                <w:sz w:val="18"/>
              </w:rPr>
              <w:t xml:space="preserve">By signing here, I am confirming I understand the purpose of the appeal will be to decide whether the process used for the internal assessment conformed to the published requirements of the awarding body’s specification and subject-specific associated documents. I also understand the appeal may only be made against the marking/assessment process not against the mark submitted by the </w:t>
            </w:r>
            <w:proofErr w:type="spellStart"/>
            <w:r>
              <w:rPr>
                <w:sz w:val="18"/>
              </w:rPr>
              <w:t>centre</w:t>
            </w:r>
            <w:proofErr w:type="spellEnd"/>
            <w:r>
              <w:rPr>
                <w:sz w:val="18"/>
              </w:rPr>
              <w:t xml:space="preserve"> for moderation by the awarding body.</w:t>
            </w:r>
          </w:p>
          <w:p w14:paraId="00A76860" w14:textId="77777777" w:rsidR="00A01575" w:rsidRDefault="00A01575">
            <w:pPr>
              <w:pStyle w:val="TableParagraph"/>
              <w:spacing w:before="8"/>
              <w:rPr>
                <w:b/>
                <w:sz w:val="17"/>
              </w:rPr>
            </w:pPr>
          </w:p>
          <w:p w14:paraId="315BE65F" w14:textId="77777777" w:rsidR="00A01575" w:rsidRDefault="00BA0F48">
            <w:pPr>
              <w:pStyle w:val="TableParagraph"/>
              <w:tabs>
                <w:tab w:val="left" w:pos="6154"/>
              </w:tabs>
              <w:ind w:left="52"/>
              <w:jc w:val="both"/>
              <w:rPr>
                <w:b/>
                <w:sz w:val="20"/>
              </w:rPr>
            </w:pPr>
            <w:r>
              <w:rPr>
                <w:b/>
                <w:sz w:val="20"/>
              </w:rPr>
              <w:t>Signature:</w:t>
            </w:r>
            <w:r>
              <w:rPr>
                <w:b/>
                <w:sz w:val="20"/>
              </w:rPr>
              <w:tab/>
              <w:t>Date of</w:t>
            </w:r>
            <w:r>
              <w:rPr>
                <w:b/>
                <w:spacing w:val="-6"/>
                <w:sz w:val="20"/>
              </w:rPr>
              <w:t xml:space="preserve"> </w:t>
            </w:r>
            <w:r>
              <w:rPr>
                <w:b/>
                <w:sz w:val="20"/>
              </w:rPr>
              <w:t>signature:</w:t>
            </w:r>
          </w:p>
        </w:tc>
      </w:tr>
      <w:tr w:rsidR="00A01575" w14:paraId="5718CAA5" w14:textId="77777777">
        <w:trPr>
          <w:trHeight w:hRule="exact" w:val="1294"/>
        </w:trPr>
        <w:tc>
          <w:tcPr>
            <w:tcW w:w="10548" w:type="dxa"/>
            <w:gridSpan w:val="4"/>
          </w:tcPr>
          <w:p w14:paraId="28B2E158" w14:textId="77777777" w:rsidR="00A01575" w:rsidRDefault="00BA0F48">
            <w:pPr>
              <w:pStyle w:val="TableParagraph"/>
              <w:spacing w:before="55"/>
              <w:ind w:left="52"/>
              <w:rPr>
                <w:b/>
                <w:sz w:val="20"/>
              </w:rPr>
            </w:pPr>
            <w:r>
              <w:rPr>
                <w:b/>
                <w:color w:val="FF3300"/>
                <w:sz w:val="20"/>
              </w:rPr>
              <w:t xml:space="preserve">Appeal against the </w:t>
            </w:r>
            <w:proofErr w:type="spellStart"/>
            <w:r>
              <w:rPr>
                <w:b/>
                <w:color w:val="FF3300"/>
                <w:sz w:val="20"/>
              </w:rPr>
              <w:t>centre</w:t>
            </w:r>
            <w:proofErr w:type="spellEnd"/>
            <w:r>
              <w:rPr>
                <w:b/>
                <w:color w:val="FF3300"/>
                <w:sz w:val="20"/>
              </w:rPr>
              <w:t xml:space="preserve"> decision not to support an enquiry about results</w:t>
            </w:r>
          </w:p>
          <w:p w14:paraId="717BA533" w14:textId="77777777" w:rsidR="00A01575" w:rsidRDefault="00BA0F48">
            <w:pPr>
              <w:pStyle w:val="TableParagraph"/>
              <w:spacing w:before="33"/>
              <w:ind w:left="52"/>
              <w:rPr>
                <w:b/>
                <w:sz w:val="18"/>
              </w:rPr>
            </w:pPr>
            <w:r>
              <w:rPr>
                <w:b/>
                <w:sz w:val="18"/>
              </w:rPr>
              <w:t>Appellant declaration</w:t>
            </w:r>
          </w:p>
          <w:p w14:paraId="2F7D8EE0" w14:textId="77777777" w:rsidR="00A01575" w:rsidRDefault="00BA0F48">
            <w:pPr>
              <w:pStyle w:val="TableParagraph"/>
              <w:spacing w:before="35"/>
              <w:ind w:left="52"/>
              <w:rPr>
                <w:sz w:val="18"/>
              </w:rPr>
            </w:pPr>
            <w:r>
              <w:rPr>
                <w:sz w:val="18"/>
              </w:rPr>
              <w:t xml:space="preserve">By signing here, I am confirming I feel there are grounds to appeal against the </w:t>
            </w:r>
            <w:proofErr w:type="spellStart"/>
            <w:r>
              <w:rPr>
                <w:sz w:val="18"/>
              </w:rPr>
              <w:t>centre’s</w:t>
            </w:r>
            <w:proofErr w:type="spellEnd"/>
            <w:r>
              <w:rPr>
                <w:sz w:val="18"/>
              </w:rPr>
              <w:t xml:space="preserve"> decision.</w:t>
            </w:r>
          </w:p>
          <w:p w14:paraId="7EDEF479" w14:textId="77777777" w:rsidR="00A01575" w:rsidRDefault="00A01575">
            <w:pPr>
              <w:pStyle w:val="TableParagraph"/>
              <w:spacing w:before="6"/>
              <w:rPr>
                <w:b/>
                <w:sz w:val="19"/>
              </w:rPr>
            </w:pPr>
          </w:p>
          <w:p w14:paraId="4A55C2A3" w14:textId="77777777" w:rsidR="00A01575" w:rsidRDefault="00BA0F48">
            <w:pPr>
              <w:pStyle w:val="TableParagraph"/>
              <w:tabs>
                <w:tab w:val="left" w:pos="6148"/>
              </w:tabs>
              <w:spacing w:before="1"/>
              <w:ind w:left="52"/>
              <w:rPr>
                <w:b/>
                <w:sz w:val="20"/>
              </w:rPr>
            </w:pPr>
            <w:r>
              <w:rPr>
                <w:b/>
                <w:sz w:val="20"/>
              </w:rPr>
              <w:t>Signature:</w:t>
            </w:r>
            <w:r>
              <w:rPr>
                <w:b/>
                <w:sz w:val="20"/>
              </w:rPr>
              <w:tab/>
              <w:t>Date of</w:t>
            </w:r>
            <w:r>
              <w:rPr>
                <w:b/>
                <w:spacing w:val="-6"/>
                <w:sz w:val="20"/>
              </w:rPr>
              <w:t xml:space="preserve"> </w:t>
            </w:r>
            <w:r>
              <w:rPr>
                <w:b/>
                <w:sz w:val="20"/>
              </w:rPr>
              <w:t>signature:</w:t>
            </w:r>
          </w:p>
        </w:tc>
      </w:tr>
      <w:tr w:rsidR="00A01575" w14:paraId="3A52107A" w14:textId="77777777">
        <w:trPr>
          <w:trHeight w:hRule="exact" w:val="1966"/>
        </w:trPr>
        <w:tc>
          <w:tcPr>
            <w:tcW w:w="10548" w:type="dxa"/>
            <w:gridSpan w:val="4"/>
          </w:tcPr>
          <w:p w14:paraId="6D22F734" w14:textId="77777777" w:rsidR="00A01575" w:rsidRDefault="00BA0F48">
            <w:pPr>
              <w:pStyle w:val="TableParagraph"/>
              <w:spacing w:before="52"/>
              <w:ind w:left="52"/>
              <w:jc w:val="both"/>
              <w:rPr>
                <w:b/>
                <w:sz w:val="20"/>
              </w:rPr>
            </w:pPr>
            <w:r>
              <w:rPr>
                <w:b/>
                <w:color w:val="FF3300"/>
                <w:sz w:val="20"/>
              </w:rPr>
              <w:t>Appeal against the outcome of an enquiry about results</w:t>
            </w:r>
          </w:p>
          <w:p w14:paraId="717268DE" w14:textId="77777777" w:rsidR="00A01575" w:rsidRDefault="00BA0F48">
            <w:pPr>
              <w:pStyle w:val="TableParagraph"/>
              <w:ind w:left="52"/>
              <w:jc w:val="both"/>
              <w:rPr>
                <w:b/>
                <w:sz w:val="18"/>
              </w:rPr>
            </w:pPr>
            <w:r>
              <w:rPr>
                <w:b/>
                <w:sz w:val="18"/>
              </w:rPr>
              <w:t>Appellant declaration</w:t>
            </w:r>
          </w:p>
          <w:p w14:paraId="4D2E0AE7" w14:textId="77777777" w:rsidR="00A01575" w:rsidRDefault="00BA0F48">
            <w:pPr>
              <w:pStyle w:val="TableParagraph"/>
              <w:spacing w:before="4"/>
              <w:ind w:left="52" w:right="75"/>
              <w:jc w:val="both"/>
              <w:rPr>
                <w:sz w:val="18"/>
              </w:rPr>
            </w:pPr>
            <w:r>
              <w:rPr>
                <w:sz w:val="18"/>
              </w:rPr>
              <w:t>By signing here, I am confirming I understand that the grounds for my appeal must relate to the awarding body’s procedures or the application of the post-result service procedures. I also understand that appeals do not generally involve further reviews of marking candidates’ work. I also confirm that I will pay in advance any fees which may be charged by the awarding body for the appeal. I understand this fee will be refunded if the appeal is upheld.</w:t>
            </w:r>
          </w:p>
          <w:p w14:paraId="7A651C4D" w14:textId="77777777" w:rsidR="00A01575" w:rsidRDefault="00A01575">
            <w:pPr>
              <w:pStyle w:val="TableParagraph"/>
              <w:rPr>
                <w:b/>
                <w:sz w:val="18"/>
              </w:rPr>
            </w:pPr>
          </w:p>
          <w:p w14:paraId="13FBB4C1" w14:textId="77777777" w:rsidR="00A01575" w:rsidRDefault="00BA0F48">
            <w:pPr>
              <w:pStyle w:val="TableParagraph"/>
              <w:tabs>
                <w:tab w:val="left" w:pos="6210"/>
              </w:tabs>
              <w:spacing w:before="133"/>
              <w:ind w:left="52"/>
              <w:jc w:val="both"/>
              <w:rPr>
                <w:b/>
                <w:sz w:val="20"/>
              </w:rPr>
            </w:pPr>
            <w:r>
              <w:rPr>
                <w:b/>
                <w:sz w:val="20"/>
              </w:rPr>
              <w:t>Signature:</w:t>
            </w:r>
            <w:r>
              <w:rPr>
                <w:b/>
                <w:sz w:val="20"/>
              </w:rPr>
              <w:tab/>
              <w:t>Date of</w:t>
            </w:r>
            <w:r>
              <w:rPr>
                <w:b/>
                <w:spacing w:val="-6"/>
                <w:sz w:val="20"/>
              </w:rPr>
              <w:t xml:space="preserve"> </w:t>
            </w:r>
            <w:r>
              <w:rPr>
                <w:b/>
                <w:sz w:val="20"/>
              </w:rPr>
              <w:t>signature:</w:t>
            </w:r>
          </w:p>
        </w:tc>
      </w:tr>
    </w:tbl>
    <w:p w14:paraId="794EF348" w14:textId="77777777" w:rsidR="00A01575" w:rsidRDefault="00A01575">
      <w:pPr>
        <w:pStyle w:val="BodyText"/>
        <w:rPr>
          <w:b/>
          <w:sz w:val="20"/>
        </w:rPr>
      </w:pPr>
    </w:p>
    <w:p w14:paraId="64D7FEA0" w14:textId="77777777" w:rsidR="00A01575" w:rsidRDefault="00A01575">
      <w:pPr>
        <w:pStyle w:val="BodyText"/>
        <w:spacing w:before="5"/>
        <w:rPr>
          <w:b/>
          <w:sz w:val="16"/>
        </w:rPr>
      </w:pPr>
    </w:p>
    <w:p w14:paraId="4D502880" w14:textId="77777777" w:rsidR="00A01575" w:rsidRDefault="00BA0F48">
      <w:pPr>
        <w:spacing w:line="242" w:lineRule="auto"/>
        <w:ind w:left="180" w:right="165"/>
        <w:rPr>
          <w:b/>
          <w:sz w:val="20"/>
        </w:rPr>
      </w:pPr>
      <w:r>
        <w:rPr>
          <w:b/>
          <w:sz w:val="20"/>
        </w:rPr>
        <w:t xml:space="preserve">The appellant declaration against the relevant appeal must be signed, dated and returned to the EO, on behalf of the head of </w:t>
      </w:r>
      <w:proofErr w:type="spellStart"/>
      <w:r>
        <w:rPr>
          <w:b/>
          <w:sz w:val="20"/>
        </w:rPr>
        <w:t>centre</w:t>
      </w:r>
      <w:proofErr w:type="spellEnd"/>
      <w:r>
        <w:rPr>
          <w:b/>
          <w:sz w:val="20"/>
        </w:rPr>
        <w:t>, to the timescale indicated in the internal appeals procedure.</w:t>
      </w:r>
    </w:p>
    <w:p w14:paraId="172E9151" w14:textId="77777777" w:rsidR="00A01575" w:rsidRDefault="00A01575">
      <w:pPr>
        <w:spacing w:line="242" w:lineRule="auto"/>
        <w:rPr>
          <w:sz w:val="20"/>
        </w:rPr>
        <w:sectPr w:rsidR="00A01575">
          <w:pgSz w:w="11910" w:h="16840"/>
          <w:pgMar w:top="500" w:right="580" w:bottom="280" w:left="540" w:header="720" w:footer="720" w:gutter="0"/>
          <w:cols w:space="720"/>
        </w:sectPr>
      </w:pPr>
    </w:p>
    <w:p w14:paraId="70898998" w14:textId="77777777" w:rsidR="00A01575" w:rsidRDefault="00BA0F48">
      <w:pPr>
        <w:spacing w:before="43" w:line="242" w:lineRule="auto"/>
        <w:ind w:left="100" w:right="290"/>
        <w:rPr>
          <w:sz w:val="24"/>
        </w:rPr>
      </w:pPr>
      <w:r>
        <w:rPr>
          <w:sz w:val="24"/>
        </w:rPr>
        <w:lastRenderedPageBreak/>
        <w:t xml:space="preserve">The internal appeals procedures for </w:t>
      </w:r>
      <w:r w:rsidR="00186BC2">
        <w:rPr>
          <w:sz w:val="24"/>
        </w:rPr>
        <w:t>Blackwater Academy</w:t>
      </w:r>
      <w:r>
        <w:rPr>
          <w:sz w:val="24"/>
        </w:rPr>
        <w:t xml:space="preserve"> have been produced to demonstrate compliance with the following:</w:t>
      </w:r>
    </w:p>
    <w:p w14:paraId="67707CC2" w14:textId="77777777" w:rsidR="00A01575" w:rsidRDefault="00BA0F48">
      <w:pPr>
        <w:spacing w:before="196"/>
        <w:ind w:left="100" w:right="104"/>
      </w:pPr>
      <w:r>
        <w:rPr>
          <w:b/>
          <w:u w:val="thick"/>
        </w:rPr>
        <w:t xml:space="preserve">JCQ </w:t>
      </w:r>
      <w:r>
        <w:rPr>
          <w:b/>
          <w:i/>
          <w:u w:val="thick"/>
        </w:rPr>
        <w:t xml:space="preserve">General Regulations for approved </w:t>
      </w:r>
      <w:proofErr w:type="spellStart"/>
      <w:r>
        <w:rPr>
          <w:b/>
          <w:i/>
          <w:u w:val="thick"/>
        </w:rPr>
        <w:t>centres</w:t>
      </w:r>
      <w:proofErr w:type="spellEnd"/>
      <w:r>
        <w:rPr>
          <w:b/>
          <w:i/>
          <w:u w:val="thick"/>
        </w:rPr>
        <w:t xml:space="preserve"> </w:t>
      </w:r>
      <w:hyperlink r:id="rId8">
        <w:r>
          <w:rPr>
            <w:color w:val="0000FF"/>
            <w:u w:val="single" w:color="0000FF"/>
          </w:rPr>
          <w:t>http://www.jcq.org.uk/exams-office/general-regulations</w:t>
        </w:r>
      </w:hyperlink>
    </w:p>
    <w:p w14:paraId="616F1815" w14:textId="77777777" w:rsidR="00A01575" w:rsidRDefault="00A01575">
      <w:pPr>
        <w:pStyle w:val="BodyText"/>
        <w:spacing w:before="7"/>
        <w:rPr>
          <w:sz w:val="15"/>
        </w:rPr>
      </w:pPr>
    </w:p>
    <w:p w14:paraId="7DFBD643" w14:textId="77777777" w:rsidR="00A01575" w:rsidRDefault="00BA0F48">
      <w:pPr>
        <w:spacing w:before="74"/>
        <w:ind w:left="100" w:right="375"/>
        <w:rPr>
          <w:b/>
          <w:sz w:val="20"/>
        </w:rPr>
      </w:pPr>
      <w:r>
        <w:rPr>
          <w:b/>
          <w:sz w:val="20"/>
        </w:rPr>
        <w:t>Controlled Assessments, Coursework and Portfolios of Evidence</w:t>
      </w:r>
    </w:p>
    <w:p w14:paraId="4157B31D" w14:textId="77777777" w:rsidR="00A01575" w:rsidRDefault="00BA0F48">
      <w:pPr>
        <w:spacing w:before="39"/>
        <w:ind w:left="100" w:right="375"/>
        <w:rPr>
          <w:sz w:val="20"/>
        </w:rPr>
      </w:pPr>
      <w:r>
        <w:rPr>
          <w:sz w:val="20"/>
        </w:rPr>
        <w:t xml:space="preserve">5.8 The </w:t>
      </w:r>
      <w:proofErr w:type="spellStart"/>
      <w:r>
        <w:rPr>
          <w:sz w:val="20"/>
        </w:rPr>
        <w:t>centre</w:t>
      </w:r>
      <w:proofErr w:type="spellEnd"/>
      <w:r>
        <w:rPr>
          <w:sz w:val="20"/>
        </w:rPr>
        <w:t xml:space="preserve"> agrees to</w:t>
      </w:r>
    </w:p>
    <w:p w14:paraId="5C7F333B" w14:textId="77777777" w:rsidR="00A01575" w:rsidRDefault="00BA0F48">
      <w:pPr>
        <w:spacing w:before="33"/>
        <w:ind w:left="100" w:right="594"/>
        <w:jc w:val="both"/>
        <w:rPr>
          <w:rFonts w:ascii="Tahoma"/>
          <w:sz w:val="20"/>
        </w:rPr>
      </w:pPr>
      <w:r>
        <w:rPr>
          <w:rFonts w:ascii="Tahoma"/>
          <w:sz w:val="20"/>
        </w:rPr>
        <w:t xml:space="preserve">have in place, and be available for inspection purposes, a </w:t>
      </w:r>
      <w:r>
        <w:rPr>
          <w:rFonts w:ascii="Tahoma"/>
          <w:b/>
          <w:sz w:val="20"/>
        </w:rPr>
        <w:t xml:space="preserve">written </w:t>
      </w:r>
      <w:r>
        <w:rPr>
          <w:rFonts w:ascii="Tahoma"/>
          <w:sz w:val="20"/>
        </w:rPr>
        <w:t xml:space="preserve">internal appeals procedure relating to internal assessment decisions and to ensure that details of this procedure are made widely available and accessible to all candidates; (A </w:t>
      </w:r>
      <w:proofErr w:type="spellStart"/>
      <w:r>
        <w:rPr>
          <w:rFonts w:ascii="Tahoma"/>
          <w:sz w:val="20"/>
        </w:rPr>
        <w:t>centre</w:t>
      </w:r>
      <w:proofErr w:type="spellEnd"/>
      <w:r>
        <w:rPr>
          <w:rFonts w:ascii="Tahoma"/>
          <w:sz w:val="20"/>
        </w:rPr>
        <w:t xml:space="preserve"> may place its internal appeals procedure on the school/college website or alternatively,</w:t>
      </w:r>
      <w:r>
        <w:rPr>
          <w:rFonts w:ascii="Tahoma"/>
          <w:spacing w:val="-41"/>
          <w:sz w:val="20"/>
        </w:rPr>
        <w:t xml:space="preserve"> </w:t>
      </w:r>
      <w:r>
        <w:rPr>
          <w:rFonts w:ascii="Tahoma"/>
          <w:sz w:val="20"/>
        </w:rPr>
        <w:t>the document may be made available to candidates upon</w:t>
      </w:r>
      <w:r>
        <w:rPr>
          <w:rFonts w:ascii="Tahoma"/>
          <w:spacing w:val="-23"/>
          <w:sz w:val="20"/>
        </w:rPr>
        <w:t xml:space="preserve"> </w:t>
      </w:r>
      <w:r>
        <w:rPr>
          <w:rFonts w:ascii="Tahoma"/>
          <w:sz w:val="20"/>
        </w:rPr>
        <w:t>request.)</w:t>
      </w:r>
    </w:p>
    <w:p w14:paraId="16DD3428" w14:textId="77777777" w:rsidR="00A01575" w:rsidRDefault="00A01575">
      <w:pPr>
        <w:pStyle w:val="BodyText"/>
        <w:spacing w:before="7"/>
        <w:rPr>
          <w:rFonts w:ascii="Tahoma"/>
          <w:sz w:val="19"/>
        </w:rPr>
      </w:pPr>
    </w:p>
    <w:p w14:paraId="3F268E37" w14:textId="77777777" w:rsidR="00A01575" w:rsidRDefault="00BA0F48">
      <w:pPr>
        <w:ind w:left="100" w:right="375"/>
        <w:rPr>
          <w:b/>
          <w:sz w:val="20"/>
        </w:rPr>
      </w:pPr>
      <w:r>
        <w:rPr>
          <w:b/>
          <w:sz w:val="20"/>
        </w:rPr>
        <w:t>Post-Results Services and Appeals</w:t>
      </w:r>
    </w:p>
    <w:p w14:paraId="452AA9D9" w14:textId="77777777" w:rsidR="00A01575" w:rsidRDefault="00BA0F48">
      <w:pPr>
        <w:ind w:left="100" w:right="375"/>
        <w:rPr>
          <w:b/>
          <w:sz w:val="20"/>
        </w:rPr>
      </w:pPr>
      <w:r>
        <w:rPr>
          <w:b/>
          <w:sz w:val="20"/>
        </w:rPr>
        <w:t xml:space="preserve">5.14 The </w:t>
      </w:r>
      <w:proofErr w:type="spellStart"/>
      <w:r>
        <w:rPr>
          <w:b/>
          <w:sz w:val="20"/>
        </w:rPr>
        <w:t>centre</w:t>
      </w:r>
      <w:proofErr w:type="spellEnd"/>
      <w:r>
        <w:rPr>
          <w:b/>
          <w:sz w:val="20"/>
        </w:rPr>
        <w:t xml:space="preserve"> agrees to</w:t>
      </w:r>
    </w:p>
    <w:p w14:paraId="10C2C9D2" w14:textId="77777777" w:rsidR="00A01575" w:rsidRDefault="00BA0F48">
      <w:pPr>
        <w:spacing w:before="2"/>
        <w:ind w:left="100" w:right="271"/>
        <w:rPr>
          <w:rFonts w:ascii="Tahoma"/>
          <w:sz w:val="20"/>
        </w:rPr>
      </w:pPr>
      <w:r>
        <w:rPr>
          <w:rFonts w:ascii="Tahoma"/>
          <w:sz w:val="20"/>
        </w:rPr>
        <w:t>have available for inspection purposes and draw to the attention of candidates and their parents/</w:t>
      </w:r>
      <w:proofErr w:type="spellStart"/>
      <w:r>
        <w:rPr>
          <w:rFonts w:ascii="Tahoma"/>
          <w:sz w:val="20"/>
        </w:rPr>
        <w:t>carers</w:t>
      </w:r>
      <w:proofErr w:type="spellEnd"/>
      <w:r>
        <w:rPr>
          <w:rFonts w:ascii="Tahoma"/>
          <w:sz w:val="20"/>
        </w:rPr>
        <w:t xml:space="preserve">, a </w:t>
      </w:r>
      <w:r>
        <w:rPr>
          <w:rFonts w:ascii="Tahoma"/>
          <w:b/>
          <w:sz w:val="20"/>
        </w:rPr>
        <w:t xml:space="preserve">written </w:t>
      </w:r>
      <w:r>
        <w:rPr>
          <w:rFonts w:ascii="Tahoma"/>
          <w:sz w:val="20"/>
        </w:rPr>
        <w:t xml:space="preserve">internal appeals procedure to manage disputes when a candidate disagrees with a </w:t>
      </w:r>
      <w:proofErr w:type="spellStart"/>
      <w:r>
        <w:rPr>
          <w:rFonts w:ascii="Tahoma"/>
          <w:sz w:val="20"/>
        </w:rPr>
        <w:t>centre</w:t>
      </w:r>
      <w:proofErr w:type="spellEnd"/>
      <w:r>
        <w:rPr>
          <w:rFonts w:ascii="Tahoma"/>
          <w:sz w:val="20"/>
        </w:rPr>
        <w:t xml:space="preserve"> decision not to support an enquiry about results or an appeal; (A </w:t>
      </w:r>
      <w:proofErr w:type="spellStart"/>
      <w:r>
        <w:rPr>
          <w:rFonts w:ascii="Tahoma"/>
          <w:sz w:val="20"/>
        </w:rPr>
        <w:t>centre</w:t>
      </w:r>
      <w:proofErr w:type="spellEnd"/>
      <w:r>
        <w:rPr>
          <w:rFonts w:ascii="Tahoma"/>
          <w:sz w:val="20"/>
        </w:rPr>
        <w:t xml:space="preserve"> may place its internal appeals procedure on the school/college website or alternatively the document may be made available to candidates upon request.)</w:t>
      </w:r>
    </w:p>
    <w:p w14:paraId="1BC5248E" w14:textId="77777777" w:rsidR="00A01575" w:rsidRDefault="00A01575">
      <w:pPr>
        <w:pStyle w:val="BodyText"/>
        <w:rPr>
          <w:rFonts w:ascii="Tahoma"/>
          <w:sz w:val="20"/>
        </w:rPr>
      </w:pPr>
    </w:p>
    <w:p w14:paraId="751815F4" w14:textId="77777777" w:rsidR="00A01575" w:rsidRDefault="00A01575">
      <w:pPr>
        <w:pStyle w:val="BodyText"/>
        <w:spacing w:before="4"/>
        <w:rPr>
          <w:rFonts w:ascii="Tahoma"/>
          <w:sz w:val="24"/>
        </w:rPr>
      </w:pPr>
    </w:p>
    <w:p w14:paraId="380F1E96" w14:textId="77777777" w:rsidR="00A01575" w:rsidRDefault="00BA0F48">
      <w:pPr>
        <w:ind w:left="100" w:right="375"/>
      </w:pPr>
      <w:r>
        <w:rPr>
          <w:b/>
          <w:u w:val="thick"/>
        </w:rPr>
        <w:t xml:space="preserve">JCQ </w:t>
      </w:r>
      <w:r>
        <w:rPr>
          <w:b/>
          <w:i/>
          <w:u w:val="thick"/>
        </w:rPr>
        <w:t xml:space="preserve">Post-results services </w:t>
      </w:r>
      <w:hyperlink r:id="rId9">
        <w:r>
          <w:rPr>
            <w:color w:val="0000FF"/>
            <w:u w:val="single" w:color="0000FF"/>
          </w:rPr>
          <w:t>http://www.jcq.org.uk/exams-office/post-results-services</w:t>
        </w:r>
      </w:hyperlink>
    </w:p>
    <w:p w14:paraId="37153E87" w14:textId="77777777" w:rsidR="00A01575" w:rsidRDefault="00A01575">
      <w:pPr>
        <w:pStyle w:val="BodyText"/>
        <w:spacing w:before="2"/>
        <w:rPr>
          <w:sz w:val="20"/>
        </w:rPr>
      </w:pPr>
    </w:p>
    <w:p w14:paraId="450C994F" w14:textId="77777777" w:rsidR="00A01575" w:rsidRDefault="00BA0F48">
      <w:pPr>
        <w:spacing w:before="74"/>
        <w:ind w:left="100" w:right="375"/>
        <w:rPr>
          <w:b/>
          <w:sz w:val="20"/>
        </w:rPr>
      </w:pPr>
      <w:r>
        <w:rPr>
          <w:b/>
          <w:sz w:val="20"/>
        </w:rPr>
        <w:t>6.4 Submission of requests</w:t>
      </w:r>
    </w:p>
    <w:p w14:paraId="0F62447E" w14:textId="77777777" w:rsidR="00A01575" w:rsidRDefault="00BA0F48">
      <w:pPr>
        <w:spacing w:before="36" w:line="276" w:lineRule="auto"/>
        <w:ind w:left="100" w:right="213"/>
        <w:rPr>
          <w:rFonts w:ascii="Tahoma"/>
          <w:b/>
          <w:sz w:val="20"/>
        </w:rPr>
      </w:pPr>
      <w:proofErr w:type="spellStart"/>
      <w:r>
        <w:rPr>
          <w:rFonts w:ascii="Tahoma"/>
          <w:sz w:val="20"/>
        </w:rPr>
        <w:t>Centres</w:t>
      </w:r>
      <w:proofErr w:type="spellEnd"/>
      <w:r>
        <w:rPr>
          <w:rFonts w:ascii="Tahoma"/>
          <w:sz w:val="20"/>
        </w:rPr>
        <w:t xml:space="preserve"> </w:t>
      </w:r>
      <w:r>
        <w:rPr>
          <w:rFonts w:ascii="Tahoma"/>
          <w:b/>
          <w:sz w:val="20"/>
        </w:rPr>
        <w:t xml:space="preserve">must </w:t>
      </w:r>
      <w:r>
        <w:rPr>
          <w:rFonts w:ascii="Tahoma"/>
          <w:sz w:val="20"/>
        </w:rPr>
        <w:t xml:space="preserve">have in place a published formal appeals procedure for use in cases where </w:t>
      </w:r>
      <w:proofErr w:type="spellStart"/>
      <w:r>
        <w:rPr>
          <w:rFonts w:ascii="Tahoma"/>
          <w:sz w:val="20"/>
        </w:rPr>
        <w:t>centres</w:t>
      </w:r>
      <w:proofErr w:type="spellEnd"/>
      <w:r>
        <w:rPr>
          <w:rFonts w:ascii="Tahoma"/>
          <w:sz w:val="20"/>
        </w:rPr>
        <w:t xml:space="preserve"> and candidates, or their parents/</w:t>
      </w:r>
      <w:proofErr w:type="spellStart"/>
      <w:r>
        <w:rPr>
          <w:rFonts w:ascii="Tahoma"/>
          <w:sz w:val="20"/>
        </w:rPr>
        <w:t>carers</w:t>
      </w:r>
      <w:proofErr w:type="spellEnd"/>
      <w:r>
        <w:rPr>
          <w:rFonts w:ascii="Tahoma"/>
          <w:sz w:val="20"/>
        </w:rPr>
        <w:t xml:space="preserve">, cannot agree as to whether an enquiry about results should be submitted. The formal appeals procedure </w:t>
      </w:r>
      <w:r>
        <w:rPr>
          <w:rFonts w:ascii="Tahoma"/>
          <w:b/>
          <w:sz w:val="20"/>
        </w:rPr>
        <w:t xml:space="preserve">must </w:t>
      </w:r>
      <w:r>
        <w:rPr>
          <w:rFonts w:ascii="Tahoma"/>
          <w:sz w:val="20"/>
        </w:rPr>
        <w:t xml:space="preserve">be made widely available. </w:t>
      </w:r>
      <w:proofErr w:type="spellStart"/>
      <w:r>
        <w:rPr>
          <w:rFonts w:ascii="Tahoma"/>
          <w:sz w:val="20"/>
        </w:rPr>
        <w:t>Centres</w:t>
      </w:r>
      <w:proofErr w:type="spellEnd"/>
      <w:r>
        <w:rPr>
          <w:rFonts w:ascii="Tahoma"/>
          <w:sz w:val="20"/>
        </w:rPr>
        <w:t xml:space="preserve"> </w:t>
      </w:r>
      <w:r>
        <w:rPr>
          <w:rFonts w:ascii="Tahoma"/>
          <w:b/>
          <w:sz w:val="20"/>
        </w:rPr>
        <w:t xml:space="preserve">must </w:t>
      </w:r>
      <w:r>
        <w:rPr>
          <w:rFonts w:ascii="Tahoma"/>
          <w:sz w:val="20"/>
        </w:rPr>
        <w:t>therefore draw the appeals procedure to the attention of candidates and their parents/</w:t>
      </w:r>
      <w:proofErr w:type="spellStart"/>
      <w:r>
        <w:rPr>
          <w:rFonts w:ascii="Tahoma"/>
          <w:sz w:val="20"/>
        </w:rPr>
        <w:t>carers</w:t>
      </w:r>
      <w:proofErr w:type="spellEnd"/>
      <w:r>
        <w:rPr>
          <w:rFonts w:ascii="Tahoma"/>
          <w:sz w:val="20"/>
        </w:rPr>
        <w:t xml:space="preserve">. In deciding whether to support an enquiry about results, </w:t>
      </w:r>
      <w:proofErr w:type="spellStart"/>
      <w:r>
        <w:rPr>
          <w:rFonts w:ascii="Tahoma"/>
          <w:sz w:val="20"/>
        </w:rPr>
        <w:t>centres</w:t>
      </w:r>
      <w:proofErr w:type="spellEnd"/>
      <w:r>
        <w:rPr>
          <w:rFonts w:ascii="Tahoma"/>
          <w:sz w:val="20"/>
        </w:rPr>
        <w:t xml:space="preserve"> should take account of all relevant factors and afford candidates or their parents/</w:t>
      </w:r>
      <w:proofErr w:type="spellStart"/>
      <w:r>
        <w:rPr>
          <w:rFonts w:ascii="Tahoma"/>
          <w:sz w:val="20"/>
        </w:rPr>
        <w:t>carers</w:t>
      </w:r>
      <w:proofErr w:type="spellEnd"/>
      <w:r>
        <w:rPr>
          <w:rFonts w:ascii="Tahoma"/>
          <w:sz w:val="20"/>
        </w:rPr>
        <w:t xml:space="preserve"> a reasonable opportunity to express their views. </w:t>
      </w:r>
      <w:r>
        <w:rPr>
          <w:rFonts w:ascii="Tahoma"/>
          <w:b/>
          <w:sz w:val="20"/>
        </w:rPr>
        <w:t xml:space="preserve">Awarding bodies can only enter into discussions over enquiries about results with </w:t>
      </w:r>
      <w:proofErr w:type="spellStart"/>
      <w:r>
        <w:rPr>
          <w:rFonts w:ascii="Tahoma"/>
          <w:b/>
          <w:sz w:val="20"/>
        </w:rPr>
        <w:t>centres</w:t>
      </w:r>
      <w:proofErr w:type="spellEnd"/>
      <w:r>
        <w:rPr>
          <w:rFonts w:ascii="Tahoma"/>
          <w:b/>
          <w:sz w:val="20"/>
        </w:rPr>
        <w:t xml:space="preserve"> and private candidates.</w:t>
      </w:r>
    </w:p>
    <w:p w14:paraId="47EA529D" w14:textId="77777777" w:rsidR="00A01575" w:rsidRDefault="00A01575">
      <w:pPr>
        <w:pStyle w:val="BodyText"/>
        <w:spacing w:before="6"/>
        <w:rPr>
          <w:rFonts w:ascii="Tahoma"/>
          <w:b/>
        </w:rPr>
      </w:pPr>
    </w:p>
    <w:p w14:paraId="03703DC3" w14:textId="77777777" w:rsidR="00A01575" w:rsidRDefault="00BA0F48">
      <w:pPr>
        <w:spacing w:before="1"/>
        <w:ind w:left="100" w:right="375"/>
        <w:rPr>
          <w:b/>
          <w:sz w:val="20"/>
        </w:rPr>
      </w:pPr>
      <w:r>
        <w:rPr>
          <w:b/>
          <w:sz w:val="20"/>
        </w:rPr>
        <w:t>7.  Appeals</w:t>
      </w:r>
    </w:p>
    <w:p w14:paraId="03FE0476" w14:textId="77777777" w:rsidR="00A01575" w:rsidRDefault="00BA0F48">
      <w:pPr>
        <w:spacing w:before="4" w:line="276" w:lineRule="auto"/>
        <w:ind w:left="100" w:right="56"/>
        <w:rPr>
          <w:rFonts w:ascii="Tahoma"/>
          <w:b/>
          <w:sz w:val="20"/>
        </w:rPr>
      </w:pPr>
      <w:proofErr w:type="spellStart"/>
      <w:r>
        <w:rPr>
          <w:rFonts w:ascii="Tahoma"/>
          <w:sz w:val="20"/>
        </w:rPr>
        <w:t>Centres</w:t>
      </w:r>
      <w:proofErr w:type="spellEnd"/>
      <w:r>
        <w:rPr>
          <w:rFonts w:ascii="Tahoma"/>
          <w:sz w:val="20"/>
        </w:rPr>
        <w:t xml:space="preserve"> </w:t>
      </w:r>
      <w:r>
        <w:rPr>
          <w:rFonts w:ascii="Tahoma"/>
          <w:b/>
          <w:sz w:val="20"/>
        </w:rPr>
        <w:t xml:space="preserve">must </w:t>
      </w:r>
      <w:r>
        <w:rPr>
          <w:rFonts w:ascii="Tahoma"/>
          <w:sz w:val="20"/>
        </w:rPr>
        <w:t xml:space="preserve">have in place a published formal appeals procedure for use in cases where </w:t>
      </w:r>
      <w:proofErr w:type="spellStart"/>
      <w:r>
        <w:rPr>
          <w:rFonts w:ascii="Tahoma"/>
          <w:sz w:val="20"/>
        </w:rPr>
        <w:t>centres</w:t>
      </w:r>
      <w:proofErr w:type="spellEnd"/>
      <w:r>
        <w:rPr>
          <w:rFonts w:ascii="Tahoma"/>
          <w:sz w:val="20"/>
        </w:rPr>
        <w:t xml:space="preserve"> and candidates, or their parents/</w:t>
      </w:r>
      <w:proofErr w:type="spellStart"/>
      <w:r>
        <w:rPr>
          <w:rFonts w:ascii="Tahoma"/>
          <w:sz w:val="20"/>
        </w:rPr>
        <w:t>carers</w:t>
      </w:r>
      <w:proofErr w:type="spellEnd"/>
      <w:r>
        <w:rPr>
          <w:rFonts w:ascii="Tahoma"/>
          <w:sz w:val="20"/>
        </w:rPr>
        <w:t xml:space="preserve">, cannot agree as to whether an appeal should be submitted to the relevant awarding body. The formal appeals procedure </w:t>
      </w:r>
      <w:r>
        <w:rPr>
          <w:rFonts w:ascii="Tahoma"/>
          <w:b/>
          <w:sz w:val="20"/>
        </w:rPr>
        <w:t xml:space="preserve">must </w:t>
      </w:r>
      <w:r>
        <w:rPr>
          <w:rFonts w:ascii="Tahoma"/>
          <w:sz w:val="20"/>
        </w:rPr>
        <w:t xml:space="preserve">be made widely available. </w:t>
      </w:r>
      <w:proofErr w:type="spellStart"/>
      <w:r>
        <w:rPr>
          <w:rFonts w:ascii="Tahoma"/>
          <w:sz w:val="20"/>
        </w:rPr>
        <w:t>Centres</w:t>
      </w:r>
      <w:proofErr w:type="spellEnd"/>
      <w:r>
        <w:rPr>
          <w:rFonts w:ascii="Tahoma"/>
          <w:sz w:val="20"/>
        </w:rPr>
        <w:t xml:space="preserve"> </w:t>
      </w:r>
      <w:r>
        <w:rPr>
          <w:rFonts w:ascii="Tahoma"/>
          <w:b/>
          <w:sz w:val="20"/>
        </w:rPr>
        <w:t xml:space="preserve">must </w:t>
      </w:r>
      <w:r>
        <w:rPr>
          <w:rFonts w:ascii="Tahoma"/>
          <w:sz w:val="20"/>
        </w:rPr>
        <w:t>therefore draw the appeals procedure to the attention of candidates and their parents/</w:t>
      </w:r>
      <w:proofErr w:type="spellStart"/>
      <w:r>
        <w:rPr>
          <w:rFonts w:ascii="Tahoma"/>
          <w:sz w:val="20"/>
        </w:rPr>
        <w:t>carers</w:t>
      </w:r>
      <w:proofErr w:type="spellEnd"/>
      <w:r>
        <w:rPr>
          <w:rFonts w:ascii="Tahoma"/>
          <w:sz w:val="20"/>
        </w:rPr>
        <w:t xml:space="preserve">. In deciding whether to support an appeal, </w:t>
      </w:r>
      <w:proofErr w:type="spellStart"/>
      <w:r>
        <w:rPr>
          <w:rFonts w:ascii="Tahoma"/>
          <w:sz w:val="20"/>
        </w:rPr>
        <w:t>centres</w:t>
      </w:r>
      <w:proofErr w:type="spellEnd"/>
      <w:r>
        <w:rPr>
          <w:rFonts w:ascii="Tahoma"/>
          <w:sz w:val="20"/>
        </w:rPr>
        <w:t xml:space="preserve"> should take account of all relevant factors and afford candidates or their parents/</w:t>
      </w:r>
      <w:proofErr w:type="spellStart"/>
      <w:r>
        <w:rPr>
          <w:rFonts w:ascii="Tahoma"/>
          <w:sz w:val="20"/>
        </w:rPr>
        <w:t>carers</w:t>
      </w:r>
      <w:proofErr w:type="spellEnd"/>
      <w:r>
        <w:rPr>
          <w:rFonts w:ascii="Tahoma"/>
          <w:sz w:val="20"/>
        </w:rPr>
        <w:t xml:space="preserve"> a reasonable opportunity to express their views. </w:t>
      </w:r>
      <w:r>
        <w:rPr>
          <w:rFonts w:ascii="Tahoma"/>
          <w:b/>
          <w:sz w:val="20"/>
        </w:rPr>
        <w:t xml:space="preserve">Awarding bodies can only enter into discussions over appeals with </w:t>
      </w:r>
      <w:proofErr w:type="spellStart"/>
      <w:r>
        <w:rPr>
          <w:rFonts w:ascii="Tahoma"/>
          <w:b/>
          <w:sz w:val="20"/>
        </w:rPr>
        <w:t>centres</w:t>
      </w:r>
      <w:proofErr w:type="spellEnd"/>
      <w:r>
        <w:rPr>
          <w:rFonts w:ascii="Tahoma"/>
          <w:b/>
          <w:sz w:val="20"/>
        </w:rPr>
        <w:t xml:space="preserve"> and private candidates.</w:t>
      </w:r>
    </w:p>
    <w:p w14:paraId="42FDD332" w14:textId="77777777" w:rsidR="00A01575" w:rsidRDefault="00A01575">
      <w:pPr>
        <w:pStyle w:val="BodyText"/>
        <w:spacing w:before="2"/>
        <w:rPr>
          <w:rFonts w:ascii="Tahoma"/>
          <w:b/>
          <w:sz w:val="25"/>
        </w:rPr>
      </w:pPr>
    </w:p>
    <w:p w14:paraId="1E9C0513" w14:textId="77777777" w:rsidR="00A01575" w:rsidRDefault="00BA0F48">
      <w:pPr>
        <w:ind w:left="100" w:right="375"/>
      </w:pPr>
      <w:r>
        <w:rPr>
          <w:b/>
          <w:u w:val="thick"/>
        </w:rPr>
        <w:t xml:space="preserve">JCQ </w:t>
      </w:r>
      <w:r>
        <w:rPr>
          <w:b/>
          <w:i/>
          <w:u w:val="thick"/>
        </w:rPr>
        <w:t xml:space="preserve">A guide to the awarding bodies’ appeals processes </w:t>
      </w:r>
      <w:hyperlink r:id="rId10">
        <w:r>
          <w:rPr>
            <w:color w:val="0000FF"/>
            <w:u w:val="single" w:color="0000FF"/>
          </w:rPr>
          <w:t>http://www.jcq.org.uk/exams-office/appeals</w:t>
        </w:r>
      </w:hyperlink>
    </w:p>
    <w:p w14:paraId="627B708F" w14:textId="77777777" w:rsidR="00A01575" w:rsidRDefault="00BA0F48">
      <w:pPr>
        <w:spacing w:before="5" w:line="276" w:lineRule="auto"/>
        <w:ind w:left="100" w:right="174"/>
        <w:jc w:val="both"/>
        <w:rPr>
          <w:rFonts w:ascii="Tahoma" w:hAnsi="Tahoma"/>
          <w:sz w:val="20"/>
        </w:rPr>
      </w:pPr>
      <w:r>
        <w:rPr>
          <w:rFonts w:ascii="Tahoma" w:hAnsi="Tahoma"/>
          <w:sz w:val="20"/>
        </w:rPr>
        <w:t>12.</w:t>
      </w:r>
      <w:r>
        <w:rPr>
          <w:rFonts w:ascii="Tahoma" w:hAnsi="Tahoma"/>
          <w:spacing w:val="-4"/>
          <w:sz w:val="20"/>
        </w:rPr>
        <w:t xml:space="preserve"> </w:t>
      </w:r>
      <w:r>
        <w:rPr>
          <w:rFonts w:ascii="Tahoma" w:hAnsi="Tahoma"/>
          <w:sz w:val="20"/>
        </w:rPr>
        <w:t>Please</w:t>
      </w:r>
      <w:r>
        <w:rPr>
          <w:rFonts w:ascii="Tahoma" w:hAnsi="Tahoma"/>
          <w:spacing w:val="-2"/>
          <w:sz w:val="20"/>
        </w:rPr>
        <w:t xml:space="preserve"> </w:t>
      </w:r>
      <w:r>
        <w:rPr>
          <w:rFonts w:ascii="Tahoma" w:hAnsi="Tahoma"/>
          <w:sz w:val="20"/>
        </w:rPr>
        <w:t>note</w:t>
      </w:r>
      <w:r>
        <w:rPr>
          <w:rFonts w:ascii="Tahoma" w:hAnsi="Tahoma"/>
          <w:spacing w:val="-3"/>
          <w:sz w:val="20"/>
        </w:rPr>
        <w:t xml:space="preserve"> </w:t>
      </w:r>
      <w:r>
        <w:rPr>
          <w:rFonts w:ascii="Tahoma" w:hAnsi="Tahoma"/>
          <w:sz w:val="20"/>
        </w:rPr>
        <w:t>that</w:t>
      </w:r>
      <w:r>
        <w:rPr>
          <w:rFonts w:ascii="Tahoma" w:hAnsi="Tahoma"/>
          <w:spacing w:val="-3"/>
          <w:sz w:val="20"/>
        </w:rPr>
        <w:t xml:space="preserve"> </w:t>
      </w:r>
      <w:r>
        <w:rPr>
          <w:rFonts w:ascii="Tahoma" w:hAnsi="Tahoma"/>
          <w:sz w:val="20"/>
        </w:rPr>
        <w:t>internal</w:t>
      </w:r>
      <w:r>
        <w:rPr>
          <w:rFonts w:ascii="Tahoma" w:hAnsi="Tahoma"/>
          <w:spacing w:val="-4"/>
          <w:sz w:val="20"/>
        </w:rPr>
        <w:t xml:space="preserve"> </w:t>
      </w:r>
      <w:r>
        <w:rPr>
          <w:rFonts w:ascii="Tahoma" w:hAnsi="Tahoma"/>
          <w:sz w:val="20"/>
        </w:rPr>
        <w:t>candidates</w:t>
      </w:r>
      <w:r>
        <w:rPr>
          <w:rFonts w:ascii="Tahoma" w:hAnsi="Tahoma"/>
          <w:spacing w:val="-4"/>
          <w:sz w:val="20"/>
        </w:rPr>
        <w:t xml:space="preserve"> </w:t>
      </w:r>
      <w:r>
        <w:rPr>
          <w:rFonts w:ascii="Tahoma" w:hAnsi="Tahoma"/>
          <w:sz w:val="20"/>
        </w:rPr>
        <w:t>and/or</w:t>
      </w:r>
      <w:r>
        <w:rPr>
          <w:rFonts w:ascii="Tahoma" w:hAnsi="Tahoma"/>
          <w:spacing w:val="-4"/>
          <w:sz w:val="20"/>
        </w:rPr>
        <w:t xml:space="preserve"> </w:t>
      </w:r>
      <w:r>
        <w:rPr>
          <w:rFonts w:ascii="Tahoma" w:hAnsi="Tahoma"/>
          <w:sz w:val="20"/>
        </w:rPr>
        <w:t>their</w:t>
      </w:r>
      <w:r>
        <w:rPr>
          <w:rFonts w:ascii="Tahoma" w:hAnsi="Tahoma"/>
          <w:spacing w:val="-1"/>
          <w:sz w:val="20"/>
        </w:rPr>
        <w:t xml:space="preserve"> </w:t>
      </w:r>
      <w:r>
        <w:rPr>
          <w:rFonts w:ascii="Tahoma" w:hAnsi="Tahoma"/>
          <w:sz w:val="20"/>
        </w:rPr>
        <w:t>parents/</w:t>
      </w:r>
      <w:proofErr w:type="spellStart"/>
      <w:r>
        <w:rPr>
          <w:rFonts w:ascii="Tahoma" w:hAnsi="Tahoma"/>
          <w:sz w:val="20"/>
        </w:rPr>
        <w:t>carers</w:t>
      </w:r>
      <w:proofErr w:type="spellEnd"/>
      <w:r>
        <w:rPr>
          <w:rFonts w:ascii="Tahoma" w:hAnsi="Tahoma"/>
          <w:spacing w:val="-4"/>
          <w:sz w:val="20"/>
        </w:rPr>
        <w:t xml:space="preserve"> </w:t>
      </w:r>
      <w:r>
        <w:rPr>
          <w:rFonts w:ascii="Tahoma" w:hAnsi="Tahoma"/>
          <w:sz w:val="20"/>
        </w:rPr>
        <w:t>are</w:t>
      </w:r>
      <w:r>
        <w:rPr>
          <w:rFonts w:ascii="Tahoma" w:hAnsi="Tahoma"/>
          <w:spacing w:val="-3"/>
          <w:sz w:val="20"/>
        </w:rPr>
        <w:t xml:space="preserve"> </w:t>
      </w:r>
      <w:r>
        <w:rPr>
          <w:rFonts w:ascii="Tahoma" w:hAnsi="Tahoma"/>
          <w:sz w:val="20"/>
        </w:rPr>
        <w:t>not</w:t>
      </w:r>
      <w:r>
        <w:rPr>
          <w:rFonts w:ascii="Tahoma" w:hAnsi="Tahoma"/>
          <w:spacing w:val="-4"/>
          <w:sz w:val="20"/>
        </w:rPr>
        <w:t xml:space="preserve"> </w:t>
      </w:r>
      <w:r>
        <w:rPr>
          <w:rFonts w:ascii="Tahoma" w:hAnsi="Tahoma"/>
          <w:sz w:val="20"/>
        </w:rPr>
        <w:t>entitled</w:t>
      </w:r>
      <w:r>
        <w:rPr>
          <w:rFonts w:ascii="Tahoma" w:hAnsi="Tahoma"/>
          <w:spacing w:val="-4"/>
          <w:sz w:val="20"/>
        </w:rPr>
        <w:t xml:space="preserve"> </w:t>
      </w:r>
      <w:r>
        <w:rPr>
          <w:rFonts w:ascii="Tahoma" w:hAnsi="Tahoma"/>
          <w:sz w:val="20"/>
        </w:rPr>
        <w:t>to</w:t>
      </w:r>
      <w:r>
        <w:rPr>
          <w:rFonts w:ascii="Tahoma" w:hAnsi="Tahoma"/>
          <w:spacing w:val="-4"/>
          <w:sz w:val="20"/>
        </w:rPr>
        <w:t xml:space="preserve"> </w:t>
      </w:r>
      <w:r>
        <w:rPr>
          <w:rFonts w:ascii="Tahoma" w:hAnsi="Tahoma"/>
          <w:sz w:val="20"/>
        </w:rPr>
        <w:t>appeal</w:t>
      </w:r>
      <w:r>
        <w:rPr>
          <w:rFonts w:ascii="Tahoma" w:hAnsi="Tahoma"/>
          <w:spacing w:val="-4"/>
          <w:sz w:val="20"/>
        </w:rPr>
        <w:t xml:space="preserve"> </w:t>
      </w:r>
      <w:r>
        <w:rPr>
          <w:rFonts w:ascii="Tahoma" w:hAnsi="Tahoma"/>
          <w:sz w:val="20"/>
        </w:rPr>
        <w:t>directly</w:t>
      </w:r>
      <w:r>
        <w:rPr>
          <w:rFonts w:ascii="Tahoma" w:hAnsi="Tahoma"/>
          <w:spacing w:val="-4"/>
          <w:sz w:val="20"/>
        </w:rPr>
        <w:t xml:space="preserve"> </w:t>
      </w:r>
      <w:r>
        <w:rPr>
          <w:rFonts w:ascii="Tahoma" w:hAnsi="Tahoma"/>
          <w:sz w:val="20"/>
        </w:rPr>
        <w:t>to</w:t>
      </w:r>
      <w:r>
        <w:rPr>
          <w:rFonts w:ascii="Tahoma" w:hAnsi="Tahoma"/>
          <w:spacing w:val="-4"/>
          <w:sz w:val="20"/>
        </w:rPr>
        <w:t xml:space="preserve"> </w:t>
      </w:r>
      <w:r>
        <w:rPr>
          <w:rFonts w:ascii="Tahoma" w:hAnsi="Tahoma"/>
          <w:sz w:val="20"/>
        </w:rPr>
        <w:t>the</w:t>
      </w:r>
      <w:r>
        <w:rPr>
          <w:rFonts w:ascii="Tahoma" w:hAnsi="Tahoma"/>
          <w:spacing w:val="-3"/>
          <w:sz w:val="20"/>
        </w:rPr>
        <w:t xml:space="preserve"> </w:t>
      </w:r>
      <w:r>
        <w:rPr>
          <w:rFonts w:ascii="Tahoma" w:hAnsi="Tahoma"/>
          <w:sz w:val="20"/>
        </w:rPr>
        <w:t xml:space="preserve">awarding body. Representations must be made to the head of </w:t>
      </w:r>
      <w:proofErr w:type="spellStart"/>
      <w:r>
        <w:rPr>
          <w:rFonts w:ascii="Tahoma" w:hAnsi="Tahoma"/>
          <w:sz w:val="20"/>
        </w:rPr>
        <w:t>centre</w:t>
      </w:r>
      <w:proofErr w:type="spellEnd"/>
      <w:r>
        <w:rPr>
          <w:rFonts w:ascii="Tahoma" w:hAnsi="Tahoma"/>
          <w:sz w:val="20"/>
        </w:rPr>
        <w:t xml:space="preserve"> where the candidate was entered or registered. The head of </w:t>
      </w:r>
      <w:proofErr w:type="spellStart"/>
      <w:r>
        <w:rPr>
          <w:rFonts w:ascii="Tahoma" w:hAnsi="Tahoma"/>
          <w:sz w:val="20"/>
        </w:rPr>
        <w:t>centre’s</w:t>
      </w:r>
      <w:proofErr w:type="spellEnd"/>
      <w:r>
        <w:rPr>
          <w:rFonts w:ascii="Tahoma" w:hAnsi="Tahoma"/>
          <w:sz w:val="20"/>
        </w:rPr>
        <w:t xml:space="preserve"> decision as to whether to proceed with an appeal is subject to the </w:t>
      </w:r>
      <w:proofErr w:type="spellStart"/>
      <w:r>
        <w:rPr>
          <w:rFonts w:ascii="Tahoma" w:hAnsi="Tahoma"/>
          <w:sz w:val="20"/>
        </w:rPr>
        <w:t>centre’s</w:t>
      </w:r>
      <w:proofErr w:type="spellEnd"/>
      <w:r>
        <w:rPr>
          <w:rFonts w:ascii="Tahoma" w:hAnsi="Tahoma"/>
          <w:sz w:val="20"/>
        </w:rPr>
        <w:t xml:space="preserve"> internal appeals</w:t>
      </w:r>
      <w:r>
        <w:rPr>
          <w:rFonts w:ascii="Tahoma" w:hAnsi="Tahoma"/>
          <w:spacing w:val="-40"/>
          <w:sz w:val="20"/>
        </w:rPr>
        <w:t xml:space="preserve"> </w:t>
      </w:r>
      <w:r>
        <w:rPr>
          <w:rFonts w:ascii="Tahoma" w:hAnsi="Tahoma"/>
          <w:sz w:val="20"/>
        </w:rPr>
        <w:t>arrangements.</w:t>
      </w:r>
    </w:p>
    <w:p w14:paraId="349A02CE" w14:textId="77777777" w:rsidR="00A01575" w:rsidRDefault="00A01575">
      <w:pPr>
        <w:pStyle w:val="BodyText"/>
        <w:spacing w:before="7"/>
        <w:rPr>
          <w:rFonts w:ascii="Tahoma"/>
          <w:sz w:val="21"/>
        </w:rPr>
      </w:pPr>
    </w:p>
    <w:p w14:paraId="136A5F0C" w14:textId="77777777" w:rsidR="00A01575" w:rsidRDefault="00BA0F48">
      <w:pPr>
        <w:ind w:left="100" w:right="375"/>
        <w:rPr>
          <w:b/>
          <w:i/>
        </w:rPr>
      </w:pPr>
      <w:proofErr w:type="spellStart"/>
      <w:r>
        <w:rPr>
          <w:b/>
          <w:u w:val="thick"/>
        </w:rPr>
        <w:t>Ofqual</w:t>
      </w:r>
      <w:proofErr w:type="spellEnd"/>
      <w:r>
        <w:rPr>
          <w:b/>
          <w:u w:val="thick"/>
        </w:rPr>
        <w:t xml:space="preserve"> </w:t>
      </w:r>
      <w:r>
        <w:rPr>
          <w:b/>
          <w:i/>
          <w:u w:val="thick"/>
        </w:rPr>
        <w:t>GCSE, GCE, Principal Learning and Project Code of Practice</w:t>
      </w:r>
    </w:p>
    <w:p w14:paraId="72CD0A66" w14:textId="77777777" w:rsidR="00A01575" w:rsidRDefault="00A01575">
      <w:pPr>
        <w:pStyle w:val="BodyText"/>
        <w:spacing w:before="10"/>
        <w:rPr>
          <w:b/>
          <w:i/>
          <w:sz w:val="13"/>
        </w:rPr>
      </w:pPr>
    </w:p>
    <w:p w14:paraId="3F14F05A" w14:textId="77777777" w:rsidR="00A01575" w:rsidRDefault="0092165E">
      <w:pPr>
        <w:spacing w:before="74"/>
        <w:ind w:left="100" w:right="375"/>
        <w:rPr>
          <w:sz w:val="20"/>
        </w:rPr>
      </w:pPr>
      <w:hyperlink r:id="rId11">
        <w:r w:rsidR="00BA0F48">
          <w:rPr>
            <w:color w:val="0000FF"/>
            <w:sz w:val="20"/>
            <w:u w:val="single" w:color="0000FF"/>
          </w:rPr>
          <w:t>https://www.gov.uk/government/publications/gcse-gce-principal-learning-and-project-code-of-practice</w:t>
        </w:r>
      </w:hyperlink>
    </w:p>
    <w:p w14:paraId="21558BEE" w14:textId="77777777" w:rsidR="00A01575" w:rsidRDefault="00BA0F48">
      <w:pPr>
        <w:pStyle w:val="ListParagraph"/>
        <w:numPr>
          <w:ilvl w:val="1"/>
          <w:numId w:val="1"/>
        </w:numPr>
        <w:tabs>
          <w:tab w:val="left" w:pos="543"/>
        </w:tabs>
        <w:spacing w:before="37"/>
        <w:ind w:firstLine="0"/>
        <w:rPr>
          <w:sz w:val="20"/>
        </w:rPr>
      </w:pPr>
      <w:r>
        <w:rPr>
          <w:sz w:val="20"/>
        </w:rPr>
        <w:t xml:space="preserve">The awarding </w:t>
      </w:r>
      <w:proofErr w:type="spellStart"/>
      <w:r>
        <w:rPr>
          <w:sz w:val="20"/>
        </w:rPr>
        <w:t>organisation</w:t>
      </w:r>
      <w:proofErr w:type="spellEnd"/>
      <w:r>
        <w:rPr>
          <w:sz w:val="20"/>
        </w:rPr>
        <w:t xml:space="preserve"> must require </w:t>
      </w:r>
      <w:proofErr w:type="spellStart"/>
      <w:r>
        <w:rPr>
          <w:sz w:val="20"/>
        </w:rPr>
        <w:t>centres</w:t>
      </w:r>
      <w:proofErr w:type="spellEnd"/>
      <w:r>
        <w:rPr>
          <w:sz w:val="20"/>
        </w:rPr>
        <w:t xml:space="preserve"> offering its examinations to ensure that they have in</w:t>
      </w:r>
      <w:r>
        <w:rPr>
          <w:spacing w:val="-23"/>
          <w:sz w:val="20"/>
        </w:rPr>
        <w:t xml:space="preserve"> </w:t>
      </w:r>
      <w:r>
        <w:rPr>
          <w:sz w:val="20"/>
        </w:rPr>
        <w:t>place:</w:t>
      </w:r>
    </w:p>
    <w:p w14:paraId="69E5FE21" w14:textId="77777777" w:rsidR="00A01575" w:rsidRDefault="00BA0F48">
      <w:pPr>
        <w:spacing w:before="34" w:line="276" w:lineRule="auto"/>
        <w:ind w:left="808" w:right="164" w:hanging="150"/>
        <w:rPr>
          <w:sz w:val="20"/>
        </w:rPr>
      </w:pPr>
      <w:proofErr w:type="spellStart"/>
      <w:r>
        <w:rPr>
          <w:sz w:val="20"/>
        </w:rPr>
        <w:t>iii.a</w:t>
      </w:r>
      <w:proofErr w:type="spellEnd"/>
      <w:r>
        <w:rPr>
          <w:sz w:val="20"/>
        </w:rPr>
        <w:t xml:space="preserve"> formal, codified procedure for handling disputes when a candidate or </w:t>
      </w:r>
      <w:proofErr w:type="spellStart"/>
      <w:r>
        <w:rPr>
          <w:sz w:val="20"/>
        </w:rPr>
        <w:t>carer</w:t>
      </w:r>
      <w:proofErr w:type="spellEnd"/>
      <w:r>
        <w:rPr>
          <w:sz w:val="20"/>
        </w:rPr>
        <w:t xml:space="preserve"> disagrees with a decision by the </w:t>
      </w:r>
      <w:proofErr w:type="spellStart"/>
      <w:r>
        <w:rPr>
          <w:sz w:val="20"/>
        </w:rPr>
        <w:t>centre</w:t>
      </w:r>
      <w:proofErr w:type="spellEnd"/>
      <w:r>
        <w:rPr>
          <w:sz w:val="20"/>
        </w:rPr>
        <w:t xml:space="preserve"> not to support an enquiry.</w:t>
      </w:r>
    </w:p>
    <w:p w14:paraId="37531B92" w14:textId="77777777" w:rsidR="00A01575" w:rsidRDefault="00BA0F48">
      <w:pPr>
        <w:spacing w:line="276" w:lineRule="auto"/>
        <w:ind w:left="659" w:right="1018"/>
        <w:rPr>
          <w:sz w:val="20"/>
        </w:rPr>
      </w:pPr>
      <w:proofErr w:type="spellStart"/>
      <w:r>
        <w:rPr>
          <w:sz w:val="20"/>
        </w:rPr>
        <w:t>Centres</w:t>
      </w:r>
      <w:proofErr w:type="spellEnd"/>
      <w:r>
        <w:rPr>
          <w:sz w:val="20"/>
        </w:rPr>
        <w:t xml:space="preserve"> must be required to ensure that the procedures are published and made widely available and accessible to all candidates and their </w:t>
      </w:r>
      <w:proofErr w:type="spellStart"/>
      <w:r>
        <w:rPr>
          <w:sz w:val="20"/>
        </w:rPr>
        <w:t>carers</w:t>
      </w:r>
      <w:proofErr w:type="spellEnd"/>
      <w:r>
        <w:rPr>
          <w:sz w:val="20"/>
        </w:rPr>
        <w:t>.</w:t>
      </w:r>
    </w:p>
    <w:p w14:paraId="0A5572E1" w14:textId="77777777" w:rsidR="00A01575" w:rsidRDefault="00BA0F48">
      <w:pPr>
        <w:pStyle w:val="ListParagraph"/>
        <w:numPr>
          <w:ilvl w:val="1"/>
          <w:numId w:val="1"/>
        </w:numPr>
        <w:tabs>
          <w:tab w:val="left" w:pos="544"/>
        </w:tabs>
        <w:spacing w:line="278" w:lineRule="auto"/>
        <w:ind w:right="110" w:firstLine="0"/>
        <w:rPr>
          <w:sz w:val="20"/>
        </w:rPr>
      </w:pPr>
      <w:r>
        <w:rPr>
          <w:sz w:val="20"/>
        </w:rPr>
        <w:t xml:space="preserve">In deciding whether to support an enquiry or appeal, </w:t>
      </w:r>
      <w:proofErr w:type="spellStart"/>
      <w:r>
        <w:rPr>
          <w:sz w:val="20"/>
        </w:rPr>
        <w:t>centres</w:t>
      </w:r>
      <w:proofErr w:type="spellEnd"/>
      <w:r>
        <w:rPr>
          <w:sz w:val="20"/>
        </w:rPr>
        <w:t xml:space="preserve"> should take account of all relevant factors and</w:t>
      </w:r>
      <w:r>
        <w:rPr>
          <w:spacing w:val="-33"/>
          <w:sz w:val="20"/>
        </w:rPr>
        <w:t xml:space="preserve"> </w:t>
      </w:r>
      <w:r>
        <w:rPr>
          <w:sz w:val="20"/>
        </w:rPr>
        <w:t xml:space="preserve">afford candidates or their </w:t>
      </w:r>
      <w:proofErr w:type="spellStart"/>
      <w:r>
        <w:rPr>
          <w:sz w:val="20"/>
        </w:rPr>
        <w:t>carers</w:t>
      </w:r>
      <w:proofErr w:type="spellEnd"/>
      <w:r>
        <w:rPr>
          <w:sz w:val="20"/>
        </w:rPr>
        <w:t xml:space="preserve"> a reasonable opportunity to express their</w:t>
      </w:r>
      <w:r>
        <w:rPr>
          <w:spacing w:val="-19"/>
          <w:sz w:val="20"/>
        </w:rPr>
        <w:t xml:space="preserve"> </w:t>
      </w:r>
      <w:r>
        <w:rPr>
          <w:sz w:val="20"/>
        </w:rPr>
        <w:t>views.</w:t>
      </w:r>
    </w:p>
    <w:p w14:paraId="0B24D61E" w14:textId="77777777" w:rsidR="00A01575" w:rsidRDefault="00A01575">
      <w:pPr>
        <w:pStyle w:val="BodyText"/>
        <w:spacing w:before="9"/>
        <w:rPr>
          <w:sz w:val="16"/>
        </w:rPr>
      </w:pPr>
    </w:p>
    <w:p w14:paraId="1F36EF1A" w14:textId="77777777" w:rsidR="00A01575" w:rsidRDefault="00BA0F48">
      <w:pPr>
        <w:pStyle w:val="Heading1"/>
        <w:spacing w:line="276" w:lineRule="auto"/>
        <w:ind w:right="319"/>
      </w:pPr>
      <w:r>
        <w:t>Appellants should consult the full information in the above publications to be fully informed when stating their grounds for appeal.</w:t>
      </w:r>
    </w:p>
    <w:p w14:paraId="197F86C0" w14:textId="77777777" w:rsidR="00A01575" w:rsidRDefault="00A01575">
      <w:pPr>
        <w:spacing w:line="276" w:lineRule="auto"/>
        <w:sectPr w:rsidR="00A01575">
          <w:pgSz w:w="11910" w:h="16840"/>
          <w:pgMar w:top="500" w:right="620" w:bottom="280" w:left="620" w:header="720" w:footer="720" w:gutter="0"/>
          <w:cols w:space="720"/>
        </w:sectPr>
      </w:pPr>
    </w:p>
    <w:p w14:paraId="4C61201B" w14:textId="77777777" w:rsidR="00A01575" w:rsidRDefault="00BA0F48">
      <w:pPr>
        <w:pStyle w:val="BodyText"/>
        <w:spacing w:before="45" w:line="276" w:lineRule="auto"/>
        <w:ind w:left="100" w:right="3779"/>
      </w:pPr>
      <w:r>
        <w:lastRenderedPageBreak/>
        <w:t xml:space="preserve">Further information can be obtained from: </w:t>
      </w:r>
      <w:hyperlink r:id="rId12">
        <w:r>
          <w:rPr>
            <w:color w:val="0000FF"/>
            <w:u w:val="single" w:color="0000FF"/>
          </w:rPr>
          <w:t>http://www.jcq.org.uk/exams-office/controlled-assessments</w:t>
        </w:r>
      </w:hyperlink>
      <w:r>
        <w:rPr>
          <w:color w:val="0000FF"/>
          <w:u w:val="single" w:color="0000FF"/>
        </w:rPr>
        <w:t xml:space="preserve"> </w:t>
      </w:r>
      <w:hyperlink r:id="rId13">
        <w:r>
          <w:rPr>
            <w:color w:val="0000FF"/>
            <w:u w:val="single" w:color="0000FF"/>
          </w:rPr>
          <w:t>http://www.jcq.org.uk/exams-office/coursework</w:t>
        </w:r>
      </w:hyperlink>
      <w:r>
        <w:rPr>
          <w:color w:val="0000FF"/>
          <w:u w:val="single" w:color="0000FF"/>
        </w:rPr>
        <w:t xml:space="preserve"> </w:t>
      </w:r>
      <w:hyperlink r:id="rId14">
        <w:r>
          <w:rPr>
            <w:color w:val="0000FF"/>
            <w:u w:val="single" w:color="0000FF"/>
          </w:rPr>
          <w:t>https://www.gov.uk/appeal-exam-result</w:t>
        </w:r>
      </w:hyperlink>
    </w:p>
    <w:p w14:paraId="45199A07" w14:textId="77777777" w:rsidR="00A01575" w:rsidRDefault="00A01575">
      <w:pPr>
        <w:pStyle w:val="BodyText"/>
        <w:spacing w:before="1"/>
        <w:rPr>
          <w:sz w:val="11"/>
        </w:rPr>
      </w:pPr>
    </w:p>
    <w:p w14:paraId="0236DFCE" w14:textId="77777777" w:rsidR="00A01575" w:rsidRDefault="0092165E">
      <w:pPr>
        <w:pStyle w:val="BodyText"/>
        <w:spacing w:before="72"/>
        <w:ind w:left="100"/>
      </w:pPr>
      <w:hyperlink r:id="rId15">
        <w:r w:rsidR="00BA0F48">
          <w:rPr>
            <w:color w:val="0000FF"/>
            <w:u w:val="single" w:color="0000FF"/>
          </w:rPr>
          <w:t>http://www.jcq.org.uk/examination-system/the-appeals-process</w:t>
        </w:r>
      </w:hyperlink>
    </w:p>
    <w:sectPr w:rsidR="00A01575">
      <w:pgSz w:w="11910" w:h="16840"/>
      <w:pgMar w:top="500" w:right="16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15B8E"/>
    <w:multiLevelType w:val="hybridMultilevel"/>
    <w:tmpl w:val="5BC86218"/>
    <w:lvl w:ilvl="0" w:tplc="A78C1364">
      <w:start w:val="1"/>
      <w:numFmt w:val="decimal"/>
      <w:lvlText w:val="%1."/>
      <w:lvlJc w:val="left"/>
      <w:pPr>
        <w:ind w:left="880" w:hanging="361"/>
        <w:jc w:val="left"/>
      </w:pPr>
      <w:rPr>
        <w:rFonts w:ascii="Arial" w:eastAsia="Arial" w:hAnsi="Arial" w:cs="Arial" w:hint="default"/>
        <w:spacing w:val="-1"/>
        <w:w w:val="100"/>
        <w:sz w:val="22"/>
        <w:szCs w:val="22"/>
      </w:rPr>
    </w:lvl>
    <w:lvl w:ilvl="1" w:tplc="476C57F4">
      <w:start w:val="1"/>
      <w:numFmt w:val="bullet"/>
      <w:lvlText w:val=""/>
      <w:lvlJc w:val="left"/>
      <w:pPr>
        <w:ind w:left="1260" w:hanging="360"/>
      </w:pPr>
      <w:rPr>
        <w:rFonts w:ascii="Wingdings" w:eastAsia="Wingdings" w:hAnsi="Wingdings" w:cs="Wingdings" w:hint="default"/>
        <w:w w:val="100"/>
        <w:sz w:val="28"/>
        <w:szCs w:val="28"/>
      </w:rPr>
    </w:lvl>
    <w:lvl w:ilvl="2" w:tplc="9E20CFD6">
      <w:start w:val="1"/>
      <w:numFmt w:val="bullet"/>
      <w:lvlText w:val="•"/>
      <w:lvlJc w:val="left"/>
      <w:pPr>
        <w:ind w:left="2316" w:hanging="360"/>
      </w:pPr>
      <w:rPr>
        <w:rFonts w:hint="default"/>
      </w:rPr>
    </w:lvl>
    <w:lvl w:ilvl="3" w:tplc="052A6682">
      <w:start w:val="1"/>
      <w:numFmt w:val="bullet"/>
      <w:lvlText w:val="•"/>
      <w:lvlJc w:val="left"/>
      <w:pPr>
        <w:ind w:left="3372" w:hanging="360"/>
      </w:pPr>
      <w:rPr>
        <w:rFonts w:hint="default"/>
      </w:rPr>
    </w:lvl>
    <w:lvl w:ilvl="4" w:tplc="0554DC9C">
      <w:start w:val="1"/>
      <w:numFmt w:val="bullet"/>
      <w:lvlText w:val="•"/>
      <w:lvlJc w:val="left"/>
      <w:pPr>
        <w:ind w:left="4428" w:hanging="360"/>
      </w:pPr>
      <w:rPr>
        <w:rFonts w:hint="default"/>
      </w:rPr>
    </w:lvl>
    <w:lvl w:ilvl="5" w:tplc="FEDCF064">
      <w:start w:val="1"/>
      <w:numFmt w:val="bullet"/>
      <w:lvlText w:val="•"/>
      <w:lvlJc w:val="left"/>
      <w:pPr>
        <w:ind w:left="5485" w:hanging="360"/>
      </w:pPr>
      <w:rPr>
        <w:rFonts w:hint="default"/>
      </w:rPr>
    </w:lvl>
    <w:lvl w:ilvl="6" w:tplc="B2B8E138">
      <w:start w:val="1"/>
      <w:numFmt w:val="bullet"/>
      <w:lvlText w:val="•"/>
      <w:lvlJc w:val="left"/>
      <w:pPr>
        <w:ind w:left="6541" w:hanging="360"/>
      </w:pPr>
      <w:rPr>
        <w:rFonts w:hint="default"/>
      </w:rPr>
    </w:lvl>
    <w:lvl w:ilvl="7" w:tplc="BD5C26D2">
      <w:start w:val="1"/>
      <w:numFmt w:val="bullet"/>
      <w:lvlText w:val="•"/>
      <w:lvlJc w:val="left"/>
      <w:pPr>
        <w:ind w:left="7597" w:hanging="360"/>
      </w:pPr>
      <w:rPr>
        <w:rFonts w:hint="default"/>
      </w:rPr>
    </w:lvl>
    <w:lvl w:ilvl="8" w:tplc="A5A64084">
      <w:start w:val="1"/>
      <w:numFmt w:val="bullet"/>
      <w:lvlText w:val="•"/>
      <w:lvlJc w:val="left"/>
      <w:pPr>
        <w:ind w:left="8653" w:hanging="360"/>
      </w:pPr>
      <w:rPr>
        <w:rFonts w:hint="default"/>
      </w:rPr>
    </w:lvl>
  </w:abstractNum>
  <w:abstractNum w:abstractNumId="1" w15:restartNumberingAfterBreak="0">
    <w:nsid w:val="31205AE8"/>
    <w:multiLevelType w:val="hybridMultilevel"/>
    <w:tmpl w:val="7DAE1D48"/>
    <w:lvl w:ilvl="0" w:tplc="D4E617F2">
      <w:start w:val="1"/>
      <w:numFmt w:val="bullet"/>
      <w:lvlText w:val=""/>
      <w:lvlJc w:val="left"/>
      <w:pPr>
        <w:ind w:left="880" w:hanging="361"/>
      </w:pPr>
      <w:rPr>
        <w:rFonts w:ascii="Symbol" w:eastAsia="Symbol" w:hAnsi="Symbol" w:cs="Symbol" w:hint="default"/>
        <w:color w:val="001F5F"/>
        <w:w w:val="100"/>
        <w:sz w:val="22"/>
        <w:szCs w:val="22"/>
      </w:rPr>
    </w:lvl>
    <w:lvl w:ilvl="1" w:tplc="030E95C8">
      <w:start w:val="1"/>
      <w:numFmt w:val="bullet"/>
      <w:lvlText w:val="•"/>
      <w:lvlJc w:val="left"/>
      <w:pPr>
        <w:ind w:left="1870" w:hanging="361"/>
      </w:pPr>
      <w:rPr>
        <w:rFonts w:hint="default"/>
      </w:rPr>
    </w:lvl>
    <w:lvl w:ilvl="2" w:tplc="B95E057A">
      <w:start w:val="1"/>
      <w:numFmt w:val="bullet"/>
      <w:lvlText w:val="•"/>
      <w:lvlJc w:val="left"/>
      <w:pPr>
        <w:ind w:left="2861" w:hanging="361"/>
      </w:pPr>
      <w:rPr>
        <w:rFonts w:hint="default"/>
      </w:rPr>
    </w:lvl>
    <w:lvl w:ilvl="3" w:tplc="79E00DF4">
      <w:start w:val="1"/>
      <w:numFmt w:val="bullet"/>
      <w:lvlText w:val="•"/>
      <w:lvlJc w:val="left"/>
      <w:pPr>
        <w:ind w:left="3851" w:hanging="361"/>
      </w:pPr>
      <w:rPr>
        <w:rFonts w:hint="default"/>
      </w:rPr>
    </w:lvl>
    <w:lvl w:ilvl="4" w:tplc="B7143112">
      <w:start w:val="1"/>
      <w:numFmt w:val="bullet"/>
      <w:lvlText w:val="•"/>
      <w:lvlJc w:val="left"/>
      <w:pPr>
        <w:ind w:left="4842" w:hanging="361"/>
      </w:pPr>
      <w:rPr>
        <w:rFonts w:hint="default"/>
      </w:rPr>
    </w:lvl>
    <w:lvl w:ilvl="5" w:tplc="F8349152">
      <w:start w:val="1"/>
      <w:numFmt w:val="bullet"/>
      <w:lvlText w:val="•"/>
      <w:lvlJc w:val="left"/>
      <w:pPr>
        <w:ind w:left="5833" w:hanging="361"/>
      </w:pPr>
      <w:rPr>
        <w:rFonts w:hint="default"/>
      </w:rPr>
    </w:lvl>
    <w:lvl w:ilvl="6" w:tplc="A3DCD0F4">
      <w:start w:val="1"/>
      <w:numFmt w:val="bullet"/>
      <w:lvlText w:val="•"/>
      <w:lvlJc w:val="left"/>
      <w:pPr>
        <w:ind w:left="6823" w:hanging="361"/>
      </w:pPr>
      <w:rPr>
        <w:rFonts w:hint="default"/>
      </w:rPr>
    </w:lvl>
    <w:lvl w:ilvl="7" w:tplc="C8248170">
      <w:start w:val="1"/>
      <w:numFmt w:val="bullet"/>
      <w:lvlText w:val="•"/>
      <w:lvlJc w:val="left"/>
      <w:pPr>
        <w:ind w:left="7814" w:hanging="361"/>
      </w:pPr>
      <w:rPr>
        <w:rFonts w:hint="default"/>
      </w:rPr>
    </w:lvl>
    <w:lvl w:ilvl="8" w:tplc="20165B3A">
      <w:start w:val="1"/>
      <w:numFmt w:val="bullet"/>
      <w:lvlText w:val="•"/>
      <w:lvlJc w:val="left"/>
      <w:pPr>
        <w:ind w:left="8805" w:hanging="361"/>
      </w:pPr>
      <w:rPr>
        <w:rFonts w:hint="default"/>
      </w:rPr>
    </w:lvl>
  </w:abstractNum>
  <w:abstractNum w:abstractNumId="2" w15:restartNumberingAfterBreak="0">
    <w:nsid w:val="665A5C6D"/>
    <w:multiLevelType w:val="multilevel"/>
    <w:tmpl w:val="A20AEA4A"/>
    <w:lvl w:ilvl="0">
      <w:start w:val="9"/>
      <w:numFmt w:val="decimal"/>
      <w:lvlText w:val="%1"/>
      <w:lvlJc w:val="left"/>
      <w:pPr>
        <w:ind w:left="100" w:hanging="443"/>
        <w:jc w:val="left"/>
      </w:pPr>
      <w:rPr>
        <w:rFonts w:hint="default"/>
      </w:rPr>
    </w:lvl>
    <w:lvl w:ilvl="1">
      <w:start w:val="13"/>
      <w:numFmt w:val="decimal"/>
      <w:lvlText w:val="%1.%2"/>
      <w:lvlJc w:val="left"/>
      <w:pPr>
        <w:ind w:left="100" w:hanging="443"/>
        <w:jc w:val="left"/>
      </w:pPr>
      <w:rPr>
        <w:rFonts w:ascii="Arial" w:eastAsia="Arial" w:hAnsi="Arial" w:cs="Arial" w:hint="default"/>
        <w:spacing w:val="-1"/>
        <w:w w:val="99"/>
        <w:sz w:val="20"/>
        <w:szCs w:val="20"/>
      </w:rPr>
    </w:lvl>
    <w:lvl w:ilvl="2">
      <w:start w:val="1"/>
      <w:numFmt w:val="bullet"/>
      <w:lvlText w:val="•"/>
      <w:lvlJc w:val="left"/>
      <w:pPr>
        <w:ind w:left="2213" w:hanging="443"/>
      </w:pPr>
      <w:rPr>
        <w:rFonts w:hint="default"/>
      </w:rPr>
    </w:lvl>
    <w:lvl w:ilvl="3">
      <w:start w:val="1"/>
      <w:numFmt w:val="bullet"/>
      <w:lvlText w:val="•"/>
      <w:lvlJc w:val="left"/>
      <w:pPr>
        <w:ind w:left="3269" w:hanging="443"/>
      </w:pPr>
      <w:rPr>
        <w:rFonts w:hint="default"/>
      </w:rPr>
    </w:lvl>
    <w:lvl w:ilvl="4">
      <w:start w:val="1"/>
      <w:numFmt w:val="bullet"/>
      <w:lvlText w:val="•"/>
      <w:lvlJc w:val="left"/>
      <w:pPr>
        <w:ind w:left="4326" w:hanging="443"/>
      </w:pPr>
      <w:rPr>
        <w:rFonts w:hint="default"/>
      </w:rPr>
    </w:lvl>
    <w:lvl w:ilvl="5">
      <w:start w:val="1"/>
      <w:numFmt w:val="bullet"/>
      <w:lvlText w:val="•"/>
      <w:lvlJc w:val="left"/>
      <w:pPr>
        <w:ind w:left="5383" w:hanging="443"/>
      </w:pPr>
      <w:rPr>
        <w:rFonts w:hint="default"/>
      </w:rPr>
    </w:lvl>
    <w:lvl w:ilvl="6">
      <w:start w:val="1"/>
      <w:numFmt w:val="bullet"/>
      <w:lvlText w:val="•"/>
      <w:lvlJc w:val="left"/>
      <w:pPr>
        <w:ind w:left="6439" w:hanging="443"/>
      </w:pPr>
      <w:rPr>
        <w:rFonts w:hint="default"/>
      </w:rPr>
    </w:lvl>
    <w:lvl w:ilvl="7">
      <w:start w:val="1"/>
      <w:numFmt w:val="bullet"/>
      <w:lvlText w:val="•"/>
      <w:lvlJc w:val="left"/>
      <w:pPr>
        <w:ind w:left="7496" w:hanging="443"/>
      </w:pPr>
      <w:rPr>
        <w:rFonts w:hint="default"/>
      </w:rPr>
    </w:lvl>
    <w:lvl w:ilvl="8">
      <w:start w:val="1"/>
      <w:numFmt w:val="bullet"/>
      <w:lvlText w:val="•"/>
      <w:lvlJc w:val="left"/>
      <w:pPr>
        <w:ind w:left="8553" w:hanging="443"/>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A01575"/>
    <w:rsid w:val="00186BC2"/>
    <w:rsid w:val="0092165E"/>
    <w:rsid w:val="00A01575"/>
    <w:rsid w:val="00BA0F48"/>
    <w:rsid w:val="00E06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952097"/>
  <w15:docId w15:val="{80F9DDA5-7279-4425-985B-F090BAE29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jcq.org.uk/exams-office/general-regulations" TargetMode="External"/><Relationship Id="rId13" Type="http://schemas.openxmlformats.org/officeDocument/2006/relationships/hyperlink" Target="http://www.jcq.org.uk/exams-office/coursework" TargetMode="External"/><Relationship Id="rId3" Type="http://schemas.openxmlformats.org/officeDocument/2006/relationships/settings" Target="settings.xml"/><Relationship Id="rId7" Type="http://schemas.openxmlformats.org/officeDocument/2006/relationships/hyperlink" Target="http://www.jcq.org.uk/exams-office/appeals" TargetMode="External"/><Relationship Id="rId12" Type="http://schemas.openxmlformats.org/officeDocument/2006/relationships/hyperlink" Target="http://www.jcq.org.uk/exams-office/controlled-assessmen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jcq.org.uk/exams-office/post-results-services" TargetMode="External"/><Relationship Id="rId11" Type="http://schemas.openxmlformats.org/officeDocument/2006/relationships/hyperlink" Target="https://www.gov.uk/government/publications/gcse-gce-principal-learning-and-project-code-of-practice" TargetMode="External"/><Relationship Id="rId5" Type="http://schemas.openxmlformats.org/officeDocument/2006/relationships/hyperlink" Target="http://www.jcq.org.uk/exams-office/post-results-services" TargetMode="External"/><Relationship Id="rId15" Type="http://schemas.openxmlformats.org/officeDocument/2006/relationships/hyperlink" Target="http://www.jcq.org.uk/examination-system/the-appeals-process" TargetMode="External"/><Relationship Id="rId10" Type="http://schemas.openxmlformats.org/officeDocument/2006/relationships/hyperlink" Target="http://www.jcq.org.uk/exams-office/appeals" TargetMode="External"/><Relationship Id="rId4" Type="http://schemas.openxmlformats.org/officeDocument/2006/relationships/webSettings" Target="webSettings.xml"/><Relationship Id="rId9" Type="http://schemas.openxmlformats.org/officeDocument/2006/relationships/hyperlink" Target="http://www.jcq.org.uk/exams-office/post-results-services" TargetMode="External"/><Relationship Id="rId14" Type="http://schemas.openxmlformats.org/officeDocument/2006/relationships/hyperlink" Target="https://www.gov.uk/appeal-exam-res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1906</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Internal appeals procedures</vt:lpstr>
    </vt:vector>
  </TitlesOfParts>
  <Company/>
  <LinksUpToDate>false</LinksUpToDate>
  <CharactersWithSpaces>12751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appeals procedures</dc:title>
  <dc:subject>This document is reviewed annually to ensure compliance with current regulations</dc:subject>
  <dc:creator>localuser</dc:creator>
  <cp:lastModifiedBy>Nauman Tassawar</cp:lastModifiedBy>
  <cp:revision>2</cp:revision>
  <dcterms:created xsi:type="dcterms:W3CDTF">2019-09-03T12:53:00Z</dcterms:created>
  <dcterms:modified xsi:type="dcterms:W3CDTF">2019-09-03T12:53:00Z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2015-11-09T00:00:00Z</vt:filetime>
  </property>
  <property fmtid="{D5CDD505-2E9C-101B-9397-08002B2CF9AE}" pid="3" name="Creator">
    <vt:lpwstr>Microsoft® Word 2010</vt:lpwstr>
  </property>
  <property fmtid="{D5CDD505-2E9C-101B-9397-08002B2CF9AE}" pid="4" name="LastSaved">
    <vt:filetime>2016-04-21T00:00:00Z</vt:filetime>
  </property>
</Properties>
</file>